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00" w:after="100"/>
        <w:jc w:val="center"/>
        <w:widowControl/>
      </w:pPr>
      <w:r>
        <w:drawing>
          <wp:inline xmlns:a="http://schemas.openxmlformats.org/drawingml/2006/main" xmlns:pic="http://schemas.openxmlformats.org/drawingml/2006/picture">
            <wp:extent cx="1260000" cy="1260000"/>
            <wp:docPr id="1" name="Picture 1"/>
            <wp:cNvGraphicFramePr>
              <a:graphicFrameLocks noChangeAspect="1"/>
            </wp:cNvGraphicFramePr>
            <a:graphic>
              <a:graphicData uri="http://schemas.openxmlformats.org/drawingml/2006/picture">
                <pic:pic>
                  <pic:nvPicPr>
                    <pic:cNvPr id="0" name="extracted_0.png"/>
                    <pic:cNvPicPr/>
                  </pic:nvPicPr>
                  <pic:blipFill>
                    <a:blip r:embed="rId11"/>
                    <a:stretch>
                      <a:fillRect/>
                    </a:stretch>
                  </pic:blipFill>
                  <pic:spPr>
                    <a:xfrm>
                      <a:off x="0" y="0"/>
                      <a:ext cx="1260000" cy="1260000"/>
                    </a:xfrm>
                    <a:prstGeom prst="rect"/>
                  </pic:spPr>
                </pic:pic>
              </a:graphicData>
            </a:graphic>
          </wp:inline>
        </w:drawing>
      </w:r>
    </w:p>
    <w:p>
      <w:pPr>
        <w:spacing w:before="40" w:after="60"/>
        <w:jc w:val="center"/>
        <w:widowControl/>
      </w:pPr>
      <w:r>
        <w:rPr>
          <w:rFonts w:ascii="Arial" w:hAnsi="Arial"/>
          <w:b/>
          <w:color w:val="7E1F20"/>
          <w:sz w:val="36"/>
        </w:rPr>
        <w:t>CONTRATO PROFESIONAL DE CORRETAJE</w:t>
        <w:br/>
        <w:t>DE BIENES RAÍCES SIN EXCLUSIVIDAD</w:t>
      </w:r>
    </w:p>
    <w:p>
      <w:pPr>
        <w:spacing w:after="80"/>
        <w:jc w:val="center"/>
        <w:widowControl/>
      </w:pPr>
      <w:r>
        <w:rPr>
          <w:rFonts w:ascii="Arial" w:hAnsi="Arial"/>
          <w:b/>
          <w:color w:val="505C2B"/>
          <w:sz w:val="19"/>
        </w:rPr>
        <w:t>MODELO EDITABLE - COMPLETAR TODOS LOS CAMPOS ANTES DE LA FIRMA</w:t>
      </w:r>
    </w:p>
    <w:tbl>
      <w:tblPr>
        <w:tblW w:type="auto" w:w="0"/>
        <w:jc w:val="center"/>
        <w:tblLayout w:type="fixed"/>
        <w:tblLook w:firstColumn="1" w:firstRow="1" w:lastColumn="0" w:lastRow="0" w:noHBand="0" w:noVBand="1" w:val="04A0"/>
      </w:tblPr>
      <w:tblGrid>
        <w:gridCol w:w="5074"/>
        <w:gridCol w:w="5074"/>
      </w:tblGrid>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Inmueble / tipo de propiedad</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Ubicación</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Precio de publicación autorizado</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USD 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Rango de negociación autorizado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USD __________________ a USD 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Precio mínimo / piso condicionado</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USD __________________ / No aplica: 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Honorarios de corretaje</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 del precio total de venta + IVA legal vigente</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Modalidad de corretaje</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ABIERTO / SIN EXCLUSIVIDAD</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Plazo del encargo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(____) meses desde la firma</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Protección postcontractual</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(____) meses para prospectos documentados</w:t>
            </w:r>
          </w:p>
        </w:tc>
      </w:tr>
    </w:tbl>
    <w:p>
      <w:pPr>
        <w:spacing w:after="0"/>
        <w:widowControl/>
      </w:pPr>
    </w:p>
    <w:p>
      <w:pPr>
        <w:spacing w:before="80" w:after="20"/>
        <w:jc w:val="center"/>
        <w:widowControl/>
      </w:pPr>
      <w:r>
        <w:rPr>
          <w:rFonts w:ascii="Arial" w:hAnsi="Arial"/>
          <w:b/>
          <w:sz w:val="18"/>
        </w:rPr>
        <w:t>CORREDOR PROFESIONAL: ______________________________________________</w:t>
      </w:r>
    </w:p>
    <w:p>
      <w:pPr>
        <w:spacing w:after="20"/>
        <w:jc w:val="center"/>
        <w:widowControl/>
      </w:pPr>
      <w:r>
        <w:rPr>
          <w:rFonts w:ascii="Arial" w:hAnsi="Arial"/>
          <w:b/>
          <w:sz w:val="17"/>
        </w:rPr>
        <w:t>C.C.: ____________________   Licencia profesional: ____________________</w:t>
      </w:r>
    </w:p>
    <w:p>
      <w:pPr>
        <w:spacing w:after="80"/>
        <w:jc w:val="center"/>
        <w:widowControl/>
      </w:pPr>
      <w:r>
        <w:rPr>
          <w:rFonts w:ascii="Arial" w:hAnsi="Arial"/>
          <w:color w:val="5A5A5A"/>
          <w:sz w:val="17"/>
        </w:rPr>
        <w:t>__________________________, ______ de __________________ de 20______</w:t>
      </w:r>
    </w:p>
    <w:tbl>
      <w:tblPr>
        <w:tblW w:type="auto" w:w="0"/>
        <w:jc w:val="center"/>
        <w:tblLayout w:type="autofit"/>
        <w:tblLook w:firstColumn="1" w:firstRow="1" w:lastColumn="0" w:lastRow="0" w:noHBand="0" w:noVBand="1" w:val="04A0"/>
      </w:tblPr>
      <w:tblGrid>
        <w:gridCol w:w="10148"/>
      </w:tblGrid>
      <w:tr>
        <w:tc>
          <w:tcPr>
            <w:tcW w:type="dxa" w:w="10148"/>
            <w:shd w:fill="F3EEE2"/>
            <w:tcMar>
              <w:top w:w="80" w:type="dxa"/>
              <w:start w:w="100" w:type="dxa"/>
              <w:bottom w:w="80" w:type="dxa"/>
              <w:end w:w="100" w:type="dxa"/>
            </w:tcMar>
          </w:tcPr>
          <w:p>
            <w:pPr>
              <w:spacing w:after="0"/>
              <w:jc w:val="both"/>
            </w:pPr>
            <w:r>
              <w:rPr>
                <w:rFonts w:ascii="Arial" w:hAnsi="Arial"/>
                <w:b/>
                <w:color w:val="7E1F20"/>
                <w:sz w:val="16"/>
              </w:rPr>
              <w:t xml:space="preserve">NOTA DE SEGURIDAD JURÍDICA: </w:t>
            </w:r>
            <w:r>
              <w:rPr>
                <w:rFonts w:ascii="Arial" w:hAnsi="Arial"/>
                <w:sz w:val="16"/>
              </w:rPr>
              <w:t>La venta definitiva queda condicionada a la verificación registral del dominio, copropietarios, gravámenes, estado civil, obligaciones municipales y demás documentos habilitantes. Este contrato regula la intermediación; no sustituye la escritura pública de compraventa ni el estudio de títulos.</w:t>
            </w:r>
          </w:p>
        </w:tc>
      </w:tr>
    </w:tbl>
    <w:p>
      <w:pPr>
        <w:spacing w:after="0"/>
        <w:widowControl/>
      </w:pPr>
    </w:p>
    <w:p>
      <w:pPr>
        <w:widowControl/>
      </w:pPr>
      <w:r>
        <w:br w:type="page"/>
      </w:r>
    </w:p>
    <w:p>
      <w:pPr>
        <w:spacing w:after="80"/>
        <w:jc w:val="center"/>
        <w:widowControl/>
      </w:pPr>
      <w:r>
        <w:rPr>
          <w:rFonts w:ascii="Arial" w:hAnsi="Arial"/>
          <w:b/>
          <w:color w:val="7E1F20"/>
          <w:sz w:val="30"/>
        </w:rPr>
        <w:t>CONTRATO DE CORRETAJE INMOBILIARIO ABIERTO - SIN EXCLUSIVIDAD</w:t>
      </w:r>
    </w:p>
    <w:p>
      <w:pPr>
        <w:pStyle w:val="ContractSmall"/>
        <w:spacing w:after="36"/>
        <w:jc w:val="both"/>
        <w:widowControl/>
      </w:pPr>
      <w:r>
        <w:rPr>
          <w:rFonts w:ascii="Arial" w:hAnsi="Arial"/>
          <w:sz w:val="16"/>
        </w:rPr>
        <w:t>Comparecen libre y voluntariamente las personas identificadas a continuación, quienes convienen en celebrar el presente contrato escrito de corretaje de bienes raíces, de conformidad con la normativa ecuatoriana aplicable, y acuerdan expresamente el plazo, el carácter no exclusivo del encargo, los honorarios y demás condiciones del servicio profesional.</w:t>
      </w:r>
    </w:p>
    <w:p>
      <w:pPr>
        <w:keepNext/>
        <w:spacing w:before="110" w:after="40"/>
        <w:widowControl/>
      </w:pPr>
      <w:r>
        <w:rPr>
          <w:rFonts w:ascii="Arial" w:hAnsi="Arial"/>
          <w:b/>
          <w:color w:val="7E1F20"/>
          <w:sz w:val="22"/>
        </w:rPr>
        <w:t>PRIMERA. COMPARECIENTES Y CAPACIDAD</w:t>
      </w:r>
    </w:p>
    <w:p>
      <w:pPr>
        <w:pStyle w:val="ContractSmall"/>
        <w:spacing w:after="36"/>
        <w:jc w:val="both"/>
        <w:widowControl/>
      </w:pPr>
      <w:r>
        <w:rPr>
          <w:rFonts w:ascii="Arial" w:hAnsi="Arial"/>
          <w:sz w:val="16"/>
        </w:rPr>
        <w:t>1.1. LA PARTE PROPIETARIA / COMITENTE. Comparece(n), conforme a los documentos de identidad entregados para la elaboración del presente instrumento:</w:t>
      </w:r>
    </w:p>
    <w:p>
      <w:pPr>
        <w:pStyle w:val="ContractSmall"/>
        <w:spacing w:after="24"/>
        <w:ind w:left="215" w:hanging="136"/>
        <w:jc w:val="both"/>
        <w:widowControl/>
      </w:pPr>
      <w:r>
        <w:rPr>
          <w:rFonts w:ascii="Arial" w:hAnsi="Arial"/>
          <w:sz w:val="16"/>
        </w:rPr>
        <w:t>• PROPIETARIO/A 1: ______________________________________________, C.C./Pasaporte No. ______________________________.</w:t>
      </w:r>
    </w:p>
    <w:p>
      <w:pPr>
        <w:pStyle w:val="ContractSmall"/>
        <w:spacing w:after="24"/>
        <w:ind w:left="215" w:hanging="136"/>
        <w:jc w:val="both"/>
        <w:widowControl/>
      </w:pPr>
      <w:r>
        <w:rPr>
          <w:rFonts w:ascii="Arial" w:hAnsi="Arial"/>
          <w:sz w:val="16"/>
        </w:rPr>
        <w:t>• PROPIETARIO/A 2 (si aplica): ______________________________________, C.C./Pasaporte No. ______________________________.</w:t>
      </w:r>
    </w:p>
    <w:p>
      <w:pPr>
        <w:pStyle w:val="ContractSmall"/>
        <w:spacing w:after="24"/>
        <w:ind w:left="215" w:hanging="136"/>
        <w:jc w:val="both"/>
        <w:widowControl/>
      </w:pPr>
      <w:r>
        <w:rPr>
          <w:rFonts w:ascii="Arial" w:hAnsi="Arial"/>
          <w:sz w:val="16"/>
        </w:rPr>
        <w:t>• PROPIETARIO/A 3 (si aplica): ______________________________________, C.C./Pasaporte No. ______________________________.</w:t>
      </w:r>
    </w:p>
    <w:p>
      <w:pPr>
        <w:pStyle w:val="ContractSmall"/>
        <w:spacing w:after="36"/>
        <w:jc w:val="both"/>
        <w:widowControl/>
      </w:pPr>
      <w:r>
        <w:rPr>
          <w:rFonts w:ascii="Arial" w:hAnsi="Arial"/>
          <w:sz w:val="16"/>
        </w:rPr>
        <w:t>En conjunto se los denominará LA PARTE PROPIETARIA. Para comunicaciones operativas declaran como número de contacto: ______________________________ y correo electrónico: ______________________________________________. Los comparecientes declaran actuar por sus propios derechos y/o en la calidad de titulares que resulte de la escritura y del certificado registral vigente, obligándose a exhibir la documentación que acredite dominio, porcentajes de copropiedad, estado civil y capacidad para disponer del inmueble antes de una promesa vinculante o de la escritura pública.</w:t>
      </w:r>
    </w:p>
    <w:p>
      <w:pPr>
        <w:pStyle w:val="ContractSmall"/>
        <w:spacing w:after="36"/>
        <w:jc w:val="both"/>
        <w:widowControl/>
      </w:pPr>
      <w:r>
        <w:rPr>
          <w:rFonts w:ascii="Arial" w:hAnsi="Arial"/>
          <w:sz w:val="16"/>
        </w:rPr>
        <w:t>1.2. EL CORREDOR. ______________________________________________, portador/a de la cédula de ciudadanía No. ______________________________, Corredor/a Profesional de Bienes Raíces, Licencia No. ______________________________, quien ejerce su actividad profesional bajo la marca comercial ERETZ HAUS BIENES RAÍCES. Contacto: ______________________________. Sitio web: www.eretzhaus.com. En adelante, EL CORREDOR.</w:t>
      </w:r>
    </w:p>
    <w:p>
      <w:pPr>
        <w:keepNext/>
        <w:spacing w:before="110" w:after="40"/>
        <w:widowControl/>
      </w:pPr>
      <w:r>
        <w:rPr>
          <w:rFonts w:ascii="Arial" w:hAnsi="Arial"/>
          <w:b/>
          <w:color w:val="7E1F20"/>
          <w:sz w:val="22"/>
        </w:rPr>
        <w:t>SEGUNDA. ANTECEDENTES Y DOCUMENTOS INCORPORADOS</w:t>
      </w:r>
    </w:p>
    <w:p>
      <w:pPr>
        <w:pStyle w:val="ContractSmall"/>
        <w:spacing w:after="36"/>
        <w:jc w:val="both"/>
        <w:widowControl/>
      </w:pPr>
      <w:r>
        <w:rPr>
          <w:rFonts w:ascii="Arial" w:hAnsi="Arial"/>
          <w:sz w:val="16"/>
        </w:rPr>
        <w:t>2.1. LA PARTE PROPIETARIA declara haber recibido y aceptado las condiciones comerciales y la estrategia de comercialización del inmueble objeto de este contrato. Las condiciones esenciales se incorporan mediante el ANEXO A.</w:t>
      </w:r>
    </w:p>
    <w:p>
      <w:pPr>
        <w:pStyle w:val="ContractSmall"/>
        <w:spacing w:after="36"/>
        <w:jc w:val="both"/>
        <w:widowControl/>
      </w:pPr>
      <w:r>
        <w:rPr>
          <w:rFonts w:ascii="Arial" w:hAnsi="Arial"/>
          <w:sz w:val="16"/>
        </w:rPr>
        <w:t>2.2. Si existiere diferencia entre cualquier proyecto comercial, propuesta, conversación previa y este contrato, prevalecerá este contrato y sus anexos firmados, especialmente respecto de plazo, modalidad abierta o no exclusiva, honorarios, causación de comisión, protección de prospectos y obligaciones de las partes.</w:t>
      </w:r>
    </w:p>
    <w:p>
      <w:pPr>
        <w:pStyle w:val="ContractSmall"/>
        <w:spacing w:after="36"/>
        <w:jc w:val="both"/>
        <w:widowControl/>
      </w:pPr>
      <w:r>
        <w:rPr>
          <w:rFonts w:ascii="Arial" w:hAnsi="Arial"/>
          <w:sz w:val="16"/>
        </w:rPr>
        <w:t>2.3. Las fotografías, estimaciones de mercado, escenarios de rentabilidad y cálculos tributarios son herramientas orientativas de comercialización y no constituyen avalúo pericial, estudio estructural, estudio de títulos, certificación de rentas ni liquidación tributaria definitiva.</w:t>
      </w:r>
    </w:p>
    <w:p>
      <w:pPr>
        <w:keepNext/>
        <w:spacing w:before="110" w:after="40"/>
        <w:widowControl/>
      </w:pPr>
      <w:r>
        <w:rPr>
          <w:rFonts w:ascii="Arial" w:hAnsi="Arial"/>
          <w:b/>
          <w:color w:val="7E1F20"/>
          <w:sz w:val="22"/>
        </w:rPr>
        <w:t>TERCERA. OBJETO DEL ENCARGO</w:t>
      </w:r>
    </w:p>
    <w:p>
      <w:pPr>
        <w:pStyle w:val="ContractSmall"/>
        <w:spacing w:after="36"/>
        <w:jc w:val="both"/>
        <w:widowControl/>
      </w:pPr>
      <w:r>
        <w:rPr>
          <w:rFonts w:ascii="Arial" w:hAnsi="Arial"/>
          <w:sz w:val="16"/>
        </w:rPr>
        <w:t>LA PARTE PROPIETARIA confiere a EL CORREDOR un encargo profesional, escrito y NO EXCLUSIVO para promocionar, ofertar, prospectar, gestionar interesados, coordinar visitas, recibir y trasladar ofertas, asesorar la negociación y acompañar el proceso comercial hasta el cierre de la venta del inmueble descrito en la cláusula cuarta. LA PARTE PROPIETARIA conserva la facultad de vender directamente o contratar a otros corredores. EL CORREDOR no podrá aceptar ofertas, celebrar promesas, firmar escrituras, recibir el precio de venta ni obligar a LA PARTE PROPIETARIA sin poder especial o autorización escrita suficiente para el acto específico.</w:t>
      </w:r>
    </w:p>
    <w:p>
      <w:pPr>
        <w:keepNext/>
        <w:spacing w:before="110" w:after="40"/>
        <w:widowControl/>
      </w:pPr>
      <w:r>
        <w:rPr>
          <w:rFonts w:ascii="Arial" w:hAnsi="Arial"/>
          <w:b/>
          <w:color w:val="7E1F20"/>
          <w:sz w:val="22"/>
        </w:rPr>
        <w:t>CUARTA. IDENTIFICACIÓN Y DESCRIPCIÓN DEL INMUEBLE</w:t>
      </w:r>
    </w:p>
    <w:tbl>
      <w:tblPr>
        <w:tblW w:type="auto" w:w="0"/>
        <w:jc w:val="center"/>
        <w:tblLayout w:type="fixed"/>
        <w:tblLook w:firstColumn="1" w:firstRow="1" w:lastColumn="0" w:lastRow="0" w:noHBand="0" w:noVBand="1" w:val="04A0"/>
      </w:tblPr>
      <w:tblGrid>
        <w:gridCol w:w="5074"/>
        <w:gridCol w:w="5074"/>
      </w:tblGrid>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Tipo de inmueble</w:t>
            </w:r>
          </w:p>
        </w:tc>
        <w:tc>
          <w:tcPr>
            <w:tcW w:type="dxa" w:w="657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______________________________________________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Ubicación / dirección</w:t>
            </w:r>
          </w:p>
        </w:tc>
        <w:tc>
          <w:tcPr>
            <w:tcW w:type="dxa" w:w="657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______________________________________________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Clave catastral / predial</w:t>
            </w:r>
          </w:p>
        </w:tc>
        <w:tc>
          <w:tcPr>
            <w:tcW w:type="dxa" w:w="657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______________________________________________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Área de terreno</w:t>
            </w:r>
          </w:p>
        </w:tc>
        <w:tc>
          <w:tcPr>
            <w:tcW w:type="dxa" w:w="657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 m²</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Área de construcción registrada</w:t>
            </w:r>
          </w:p>
        </w:tc>
        <w:tc>
          <w:tcPr>
            <w:tcW w:type="dxa" w:w="657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 m² / No aplica: 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Avalúo municipal / referencia</w:t>
            </w:r>
          </w:p>
        </w:tc>
        <w:tc>
          <w:tcPr>
            <w:tcW w:type="dxa" w:w="657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______________________________</w:t>
            </w:r>
          </w:p>
        </w:tc>
      </w:tr>
      <w:tr>
        <w:tc>
          <w:tcPr>
            <w:tcW w:type="dxa" w:w="340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Situación de ocupación / arrendamiento</w:t>
            </w:r>
          </w:p>
        </w:tc>
        <w:tc>
          <w:tcPr>
            <w:tcW w:type="dxa" w:w="657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______________________________________________</w:t>
            </w:r>
          </w:p>
        </w:tc>
      </w:tr>
    </w:tbl>
    <w:p>
      <w:pPr>
        <w:spacing w:after="0"/>
        <w:widowControl/>
      </w:pPr>
    </w:p>
    <w:p>
      <w:pPr>
        <w:pStyle w:val="ContractSmall"/>
        <w:spacing w:after="36"/>
        <w:jc w:val="both"/>
        <w:widowControl/>
      </w:pPr>
      <w:r>
        <w:rPr>
          <w:rFonts w:ascii="Arial" w:hAnsi="Arial"/>
          <w:sz w:val="16"/>
        </w:rPr>
        <w:t>Descripción comercial constatada y aceptada para fines de oferta: ________________________________________________________________________________________________________________________________________________________________________________________________________________________________________________</w:t>
      </w:r>
    </w:p>
    <w:tbl>
      <w:tblPr>
        <w:tblW w:type="auto" w:w="0"/>
        <w:jc w:val="center"/>
        <w:tblLayout w:type="autofit"/>
        <w:tblLook w:firstColumn="1" w:firstRow="1" w:lastColumn="0" w:lastRow="0" w:noHBand="0" w:noVBand="1" w:val="04A0"/>
      </w:tblPr>
      <w:tblGrid>
        <w:gridCol w:w="10148"/>
      </w:tblGrid>
      <w:tr>
        <w:tc>
          <w:tcPr>
            <w:tcW w:type="dxa" w:w="10148"/>
            <w:shd w:fill="EEF0E6"/>
            <w:tcMar>
              <w:top w:w="80" w:type="dxa"/>
              <w:start w:w="100" w:type="dxa"/>
              <w:bottom w:w="80" w:type="dxa"/>
              <w:end w:w="100" w:type="dxa"/>
            </w:tcMar>
          </w:tcPr>
          <w:p>
            <w:pPr>
              <w:spacing w:after="0"/>
              <w:jc w:val="both"/>
            </w:pPr>
            <w:r>
              <w:rPr>
                <w:rFonts w:ascii="Arial" w:hAnsi="Arial"/>
                <w:b/>
                <w:color w:val="7E1F20"/>
                <w:sz w:val="16"/>
              </w:rPr>
              <w:t xml:space="preserve">VERIFICACIÓN: </w:t>
            </w:r>
            <w:r>
              <w:rPr>
                <w:rFonts w:ascii="Arial" w:hAnsi="Arial"/>
                <w:sz w:val="16"/>
              </w:rPr>
              <w:t>La descripción anterior es comercial. Las áreas, linderos, titularidad, construcciones registradas, afectaciones y gravámenes que produzcan efectos jurídicos serán exclusivamente los que consten en los documentos públicos y certificaciones vigentes.</w:t>
            </w:r>
          </w:p>
        </w:tc>
      </w:tr>
    </w:tbl>
    <w:p>
      <w:pPr>
        <w:spacing w:after="0"/>
        <w:widowControl/>
      </w:pPr>
    </w:p>
    <w:p>
      <w:pPr>
        <w:widowControl/>
      </w:pPr>
      <w:r>
        <w:br w:type="page"/>
      </w:r>
    </w:p>
    <w:p>
      <w:pPr>
        <w:keepNext/>
        <w:spacing w:before="110" w:after="40"/>
        <w:widowControl/>
      </w:pPr>
      <w:r>
        <w:rPr>
          <w:rFonts w:ascii="Arial" w:hAnsi="Arial"/>
          <w:b/>
          <w:color w:val="7E1F20"/>
          <w:sz w:val="22"/>
        </w:rPr>
        <w:t>QUINTA. PRECIO, ESTRATEGIA DE NEGOCIACIÓN Y LÍMITES DE AUTORIZACIÓN</w:t>
      </w:r>
    </w:p>
    <w:p>
      <w:pPr>
        <w:pStyle w:val="ContractSmall"/>
        <w:spacing w:after="36"/>
        <w:jc w:val="both"/>
        <w:widowControl/>
      </w:pPr>
      <w:r>
        <w:rPr>
          <w:rFonts w:ascii="Arial" w:hAnsi="Arial"/>
          <w:sz w:val="16"/>
        </w:rPr>
        <w:t>5.1. Las partes fijan como condiciones comerciales iniciales las siguientes:</w:t>
      </w:r>
    </w:p>
    <w:tbl>
      <w:tblPr>
        <w:tblW w:type="auto" w:w="0"/>
        <w:jc w:val="center"/>
        <w:tblLayout w:type="fixed"/>
        <w:tblLook w:firstColumn="1" w:firstRow="1" w:lastColumn="0" w:lastRow="0" w:noHBand="0" w:noVBand="1" w:val="04A0"/>
      </w:tblPr>
      <w:tblGrid>
        <w:gridCol w:w="5074"/>
        <w:gridCol w:w="5074"/>
      </w:tblGrid>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Precio de publicación</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______________________________</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Rango autorizado de negociación</w:t>
            </w:r>
          </w:p>
        </w:tc>
        <w:tc>
          <w:tcPr>
            <w:tcW w:type="dxa" w:w="589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 a USD __________________</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Precio mínimo / piso condicionado</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 / No aplica: __________</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Meta neta referencial de la parte propietaria</w:t>
            </w:r>
          </w:p>
        </w:tc>
        <w:tc>
          <w:tcPr>
            <w:tcW w:type="dxa" w:w="589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USD __________________ / No aplica: __________</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6"/>
              </w:rPr>
              <w:t>Revisión comercial</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6"/>
              </w:rPr>
              <w:t>Cada ______ días durante la vigencia del contrato</w:t>
            </w:r>
          </w:p>
        </w:tc>
      </w:tr>
    </w:tbl>
    <w:p>
      <w:pPr>
        <w:spacing w:after="0"/>
        <w:widowControl/>
      </w:pPr>
    </w:p>
    <w:p>
      <w:pPr>
        <w:pStyle w:val="ContractSmall"/>
        <w:spacing w:after="36"/>
        <w:jc w:val="both"/>
        <w:widowControl/>
      </w:pPr>
      <w:r>
        <w:rPr>
          <w:rFonts w:ascii="Arial" w:hAnsi="Arial"/>
          <w:sz w:val="16"/>
        </w:rPr>
        <w:t>5.2. EL CORREDOR podrá publicitar el inmueble al precio autorizado y negociar preliminarmente dentro del rango señalado, pero toda aceptación final corresponderá exclusivamente a LA PARTE PROPIETARIA.</w:t>
      </w:r>
    </w:p>
    <w:p>
      <w:pPr>
        <w:pStyle w:val="ContractSmall"/>
        <w:spacing w:after="36"/>
        <w:jc w:val="both"/>
        <w:widowControl/>
      </w:pPr>
      <w:r>
        <w:rPr>
          <w:rFonts w:ascii="Arial" w:hAnsi="Arial"/>
          <w:sz w:val="16"/>
        </w:rPr>
        <w:t>5.3. Antes de aceptar una oferta inferior al rango autorizado o que dependa de un monto neto específico, las partes deberán revisar la liquidación de tributos, comisión, IVA aplicable, deudas, gravámenes y demás costos del vendedor. Cualquier precio mínimo condicionado solo podrá utilizarse cuando LA PARTE PROPIETARIA lo apruebe expresamente por escrito.</w:t>
      </w:r>
    </w:p>
    <w:p>
      <w:pPr>
        <w:pStyle w:val="ContractSmall"/>
        <w:spacing w:after="36"/>
        <w:jc w:val="both"/>
        <w:widowControl/>
      </w:pPr>
      <w:r>
        <w:rPr>
          <w:rFonts w:ascii="Arial" w:hAnsi="Arial"/>
          <w:sz w:val="16"/>
        </w:rPr>
        <w:t>5.4. Ninguna cifra de “neto” constituye garantía. El monto real depende de tributos, obligaciones, gravámenes, reparaciones, condiciones de entrega y demás costos que se determinen al cierre.</w:t>
      </w:r>
    </w:p>
    <w:p>
      <w:pPr>
        <w:keepNext/>
        <w:spacing w:before="110" w:after="40"/>
        <w:widowControl/>
      </w:pPr>
      <w:r>
        <w:rPr>
          <w:rFonts w:ascii="Arial" w:hAnsi="Arial"/>
          <w:b/>
          <w:color w:val="7E1F20"/>
          <w:sz w:val="22"/>
        </w:rPr>
        <w:t>SEXTA. PLAZO Y CARÁCTER NO EXCLUSIVO</w:t>
      </w:r>
    </w:p>
    <w:p>
      <w:pPr>
        <w:pStyle w:val="ContractSmall"/>
        <w:spacing w:after="36"/>
        <w:jc w:val="both"/>
        <w:widowControl/>
      </w:pPr>
      <w:r>
        <w:rPr>
          <w:rFonts w:ascii="Arial" w:hAnsi="Arial"/>
          <w:sz w:val="16"/>
        </w:rPr>
        <w:t>6.1. El presente contrato tendrá una duración fija de ______ (______) MESES contados desde la fecha de su firma por las partes. No se renovará automáticamente; cualquier prórroga deberá constar por escrito.</w:t>
      </w:r>
    </w:p>
    <w:p>
      <w:pPr>
        <w:pStyle w:val="ContractSmall"/>
        <w:spacing w:after="36"/>
        <w:jc w:val="both"/>
        <w:widowControl/>
      </w:pPr>
      <w:r>
        <w:rPr>
          <w:rFonts w:ascii="Arial" w:hAnsi="Arial"/>
          <w:sz w:val="16"/>
        </w:rPr>
        <w:t>6.2. Este encargo es ABIERTO Y NO EXCLUSIVO. Durante su vigencia, LA PARTE PROPIETARIA podrá vender directamente el inmueble o contratar simultáneamente a otros corredores, inmobiliarias o intermediarios, sin que esa sola circunstancia genere honorarios a favor de EL CORREDOR.</w:t>
      </w:r>
    </w:p>
    <w:p>
      <w:pPr>
        <w:pStyle w:val="ContractSmall"/>
        <w:spacing w:after="36"/>
        <w:jc w:val="both"/>
        <w:widowControl/>
      </w:pPr>
      <w:r>
        <w:rPr>
          <w:rFonts w:ascii="Arial" w:hAnsi="Arial"/>
          <w:sz w:val="16"/>
        </w:rPr>
        <w:t>6.3. La comisión de EL CORREDOR se causará únicamente cuando la operación se celebre con un comprador presentado, identificado, contactado, referido o gestionado por EL CORREDOR, o con una persona natural o jurídica vinculada que adquiera por cuenta o en beneficio sustancial de dicho prospecto. Si la venta se realiza con un comprador obtenido de forma independiente y ajeno a la gestión documentada de EL CORREDOR, no se causará comisión a favor de este corredor.</w:t>
      </w:r>
    </w:p>
    <w:p>
      <w:pPr>
        <w:keepNext/>
        <w:spacing w:before="110" w:after="40"/>
        <w:widowControl/>
      </w:pPr>
      <w:r>
        <w:rPr>
          <w:rFonts w:ascii="Arial" w:hAnsi="Arial"/>
          <w:b/>
          <w:color w:val="7E1F20"/>
          <w:sz w:val="22"/>
        </w:rPr>
        <w:t>SÉPTIMA. HONORARIOS, IVA Y FORMA DE PAGO</w:t>
      </w:r>
    </w:p>
    <w:p>
      <w:pPr>
        <w:pStyle w:val="ContractSmall"/>
        <w:spacing w:after="36"/>
        <w:jc w:val="both"/>
        <w:widowControl/>
      </w:pPr>
      <w:r>
        <w:rPr>
          <w:rFonts w:ascii="Arial" w:hAnsi="Arial"/>
          <w:sz w:val="16"/>
        </w:rPr>
        <w:t>7.1. Cuando la venta, promesa vinculante u operación onerosa se concrete con un comprador presentado, identificado, referido o gestionado por EL CORREDOR, LA PARTE PROPIETARIA pagará honorarios equivalentes al ______ POR CIENTO (______ %) del precio total y real de la venta o del valor económico total de la operación, más el IMPUESTO AL VALOR AGREGADO (IVA) que se encuentre legalmente vigente y resulte aplicable a la comisión en la fecha de facturación.</w:t>
      </w:r>
    </w:p>
    <w:p>
      <w:pPr>
        <w:pStyle w:val="ContractSmall"/>
        <w:spacing w:after="36"/>
        <w:jc w:val="both"/>
        <w:widowControl/>
      </w:pPr>
      <w:r>
        <w:rPr>
          <w:rFonts w:ascii="Arial" w:hAnsi="Arial"/>
          <w:sz w:val="16"/>
        </w:rPr>
        <w:t>7.2. El IVA recae únicamente sobre la comisión y no sobre el precio de venta del inmueble. Para la factura y el pago prevalecerá siempre la tarifa legal vigente al producirse el hecho generador.</w:t>
      </w:r>
    </w:p>
    <w:p>
      <w:pPr>
        <w:pStyle w:val="ContractSmall"/>
        <w:spacing w:after="36"/>
        <w:jc w:val="both"/>
        <w:widowControl/>
      </w:pPr>
      <w:r>
        <w:rPr>
          <w:rFonts w:ascii="Arial" w:hAnsi="Arial"/>
          <w:sz w:val="16"/>
        </w:rPr>
        <w:t>7.3. Cuando se configure una operación con un prospecto atribuible a EL CORREDOR conforme a este contrato, la comisión será pagadera a más tardar el día de otorgamiento de la escritura pública de compraventa o en la fecha anterior en que LA PARTE PROPIETARIA reciba, por causa de un acuerdo vinculante de venta, una parte sustancial o la totalidad del precio, lo que ocurra primero. EL CORREDOR emitirá el comprobante tributario correspondiente.</w:t>
      </w:r>
    </w:p>
    <w:p>
      <w:pPr>
        <w:pStyle w:val="ContractSmall"/>
        <w:spacing w:after="36"/>
        <w:jc w:val="both"/>
        <w:widowControl/>
      </w:pPr>
      <w:r>
        <w:rPr>
          <w:rFonts w:ascii="Arial" w:hAnsi="Arial"/>
          <w:sz w:val="16"/>
        </w:rPr>
        <w:t>7.4. Si LA PARTE PROPIETARIA, después de aceptar por escrito una oferta vinculante o suscribir una promesa con un comprador presentado o gestionado por EL CORREDOR, se niega injustificadamente a completar la operación por causa imputable exclusivamente a ella, los honorarios se entenderán causados, sin perjuicio de los demás derechos que correspondan. Si la operación fracasa exclusivamente por incumplimiento del comprador y LA PARTE PROPIETARIA no realiza la venta, la comisión no se cobrará como si el cierre se hubiese producido.</w:t>
      </w:r>
    </w:p>
    <w:p>
      <w:pPr>
        <w:pStyle w:val="ContractSmall"/>
        <w:spacing w:after="36"/>
        <w:jc w:val="both"/>
        <w:widowControl/>
      </w:pPr>
      <w:r>
        <w:rPr>
          <w:rFonts w:ascii="Arial" w:hAnsi="Arial"/>
          <w:sz w:val="16"/>
        </w:rPr>
        <w:t>7.5. Los gastos ordinarios de gestión comercial de EL CORREDOR se entienden cubiertos por sus honorarios. Publicidad pagada extraordinaria, reparaciones, certificados, trámites o gastos de terceros solo serán cargados a LA PARTE PROPIETARIA cuando hayan sido previamente autorizados por escrito.</w:t>
      </w:r>
    </w:p>
    <w:p>
      <w:pPr>
        <w:widowControl/>
      </w:pPr>
      <w:r>
        <w:br w:type="page"/>
      </w:r>
    </w:p>
    <w:p>
      <w:pPr>
        <w:keepNext/>
        <w:spacing w:before="110" w:after="40"/>
        <w:widowControl/>
      </w:pPr>
      <w:r>
        <w:rPr>
          <w:rFonts w:ascii="Arial" w:hAnsi="Arial"/>
          <w:b/>
          <w:color w:val="7E1F20"/>
          <w:sz w:val="22"/>
        </w:rPr>
        <w:t>OCTAVA. PROTECCIÓN POSTCONTRACTUAL DE PROSPECTOS REFERIDOS</w:t>
      </w:r>
    </w:p>
    <w:p>
      <w:pPr>
        <w:pStyle w:val="ContractSmall"/>
        <w:spacing w:after="36"/>
        <w:jc w:val="both"/>
        <w:widowControl/>
      </w:pPr>
      <w:r>
        <w:rPr>
          <w:rFonts w:ascii="Arial" w:hAnsi="Arial"/>
          <w:sz w:val="16"/>
        </w:rPr>
        <w:t>8.1. Para proteger el trabajo comercial efectivamente realizado y evitar la elusión de una comisión respecto de prospectos originados por EL CORREDOR, se establece un PERÍODO DE PROTECCIÓN de ______ (______) MESES contados desde la terminación o vencimiento del presente contrato.</w:t>
      </w:r>
    </w:p>
    <w:p>
      <w:pPr>
        <w:pStyle w:val="ContractSmall"/>
        <w:spacing w:after="36"/>
        <w:jc w:val="both"/>
        <w:widowControl/>
      </w:pPr>
      <w:r>
        <w:rPr>
          <w:rFonts w:ascii="Arial" w:hAnsi="Arial"/>
          <w:sz w:val="16"/>
        </w:rPr>
        <w:t>8.2. Si dentro de ese período LA PARTE PROPIETARIA vende, promete vender, cede o transfiere onerosamente el inmueble a un PROSPECTO PROTEGIDO presentado, identificado, contactado, calificado o gestionado por EL CORREDOR durante la vigencia del contrato, se deberá pagar íntegramente la comisión pactada más IVA vigente, aunque la negociación final se realice directamente o mediante otro tercero.</w:t>
      </w:r>
    </w:p>
    <w:p>
      <w:pPr>
        <w:pStyle w:val="ContractSmall"/>
        <w:spacing w:after="36"/>
        <w:jc w:val="both"/>
        <w:widowControl/>
      </w:pPr>
      <w:r>
        <w:rPr>
          <w:rFonts w:ascii="Arial" w:hAnsi="Arial"/>
          <w:sz w:val="16"/>
        </w:rPr>
        <w:t>8.3. Se considerará Prospecto Protegido a la persona natural o jurídica que, durante la vigencia: (a) haya recibido información o ficha del inmueble por medio de EL CORREDOR; (b) haya sido identificada o referida por EL CORREDOR a LA PARTE PROPIETARIA; (c) haya realizado una visita, consulta calificada, negociación u oferta; o (d) figure en los registros de contacto, mensajes, agenda de visitas, CRM o ANEXO B. La protección se extenderá a una sociedad, vehículo jurídico, cónyuge o persona interpuesta que adquiera por cuenta o en beneficio sustancial del prospecto, cuando pueda demostrarse la vinculación con la negociación originada por EL CORREDOR.</w:t>
      </w:r>
    </w:p>
    <w:p>
      <w:pPr>
        <w:pStyle w:val="ContractSmall"/>
        <w:spacing w:after="36"/>
        <w:jc w:val="both"/>
        <w:widowControl/>
      </w:pPr>
      <w:r>
        <w:rPr>
          <w:rFonts w:ascii="Arial" w:hAnsi="Arial"/>
          <w:sz w:val="16"/>
        </w:rPr>
        <w:t>8.4. Dentro de los cinco (5) días hábiles siguientes a la terminación, EL CORREDOR podrá entregar o actualizar a LA PARTE PROPIETARIA la lista de prospectos protegidos mediante el ANEXO B o por un medio escrito que deje constancia de recepción. La lista facilita la prueba, pero no excluye otros registros objetivos de contactos o visitas efectuados durante la vigencia.</w:t>
      </w:r>
    </w:p>
    <w:tbl>
      <w:tblPr>
        <w:tblW w:type="auto" w:w="0"/>
        <w:jc w:val="center"/>
        <w:tblLayout w:type="autofit"/>
        <w:tblLook w:firstColumn="1" w:firstRow="1" w:lastColumn="0" w:lastRow="0" w:noHBand="0" w:noVBand="1" w:val="04A0"/>
      </w:tblPr>
      <w:tblGrid>
        <w:gridCol w:w="10148"/>
      </w:tblGrid>
      <w:tr>
        <w:tc>
          <w:tcPr>
            <w:tcW w:type="dxa" w:w="10148"/>
            <w:shd w:fill="EEF0E6"/>
            <w:tcMar>
              <w:top w:w="80" w:type="dxa"/>
              <w:start w:w="100" w:type="dxa"/>
              <w:bottom w:w="80" w:type="dxa"/>
              <w:end w:w="100" w:type="dxa"/>
            </w:tcMar>
          </w:tcPr>
          <w:p>
            <w:pPr>
              <w:spacing w:after="0"/>
              <w:jc w:val="both"/>
            </w:pPr>
            <w:r>
              <w:rPr>
                <w:rFonts w:ascii="Arial" w:hAnsi="Arial"/>
                <w:b/>
                <w:color w:val="7E1F20"/>
                <w:sz w:val="16"/>
              </w:rPr>
              <w:t xml:space="preserve">ALCANCE EQUILIBRADO: </w:t>
            </w:r>
            <w:r>
              <w:rPr>
                <w:rFonts w:ascii="Arial" w:hAnsi="Arial"/>
                <w:sz w:val="16"/>
              </w:rPr>
              <w:t>Durante y después de la vigencia, LA PARTE PROPIETARIA puede vender directamente o trabajar con otros corredores. La protección prevista en esta cláusula se limita a los prospectos efectivamente originados o gestionados por Eretz Haus y no alcanza a compradores independientes y ajenos a esa gestión.</w:t>
            </w:r>
          </w:p>
        </w:tc>
      </w:tr>
    </w:tbl>
    <w:p>
      <w:pPr>
        <w:spacing w:after="0"/>
        <w:widowControl/>
      </w:pPr>
    </w:p>
    <w:p>
      <w:pPr>
        <w:keepNext/>
        <w:spacing w:before="110" w:after="40"/>
        <w:widowControl/>
      </w:pPr>
      <w:r>
        <w:rPr>
          <w:rFonts w:ascii="Arial" w:hAnsi="Arial"/>
          <w:b/>
          <w:color w:val="7E1F20"/>
          <w:sz w:val="22"/>
        </w:rPr>
        <w:t>NOVENA. OBLIGACIONES DE EL CORREDOR</w:t>
      </w:r>
    </w:p>
    <w:p>
      <w:pPr>
        <w:pStyle w:val="ContractSmall"/>
        <w:spacing w:after="24"/>
        <w:ind w:left="215" w:hanging="136"/>
        <w:jc w:val="both"/>
        <w:widowControl/>
      </w:pPr>
      <w:r>
        <w:rPr>
          <w:rFonts w:ascii="Arial" w:hAnsi="Arial"/>
          <w:sz w:val="16"/>
        </w:rPr>
        <w:t>• Actuar con diligencia profesional, buena fe, honestidad, transparencia y confidencialidad, informando las ventajas, desventajas y condiciones relevantes de la operación dentro del alcance de la información disponible.</w:t>
      </w:r>
    </w:p>
    <w:p>
      <w:pPr>
        <w:pStyle w:val="ContractSmall"/>
        <w:spacing w:after="24"/>
        <w:ind w:left="215" w:hanging="136"/>
        <w:jc w:val="both"/>
        <w:widowControl/>
      </w:pPr>
      <w:r>
        <w:rPr>
          <w:rFonts w:ascii="Arial" w:hAnsi="Arial"/>
          <w:sz w:val="16"/>
        </w:rPr>
        <w:t>• Preparar o coordinar fotografías, video, ficha técnica, textos comerciales y material de promoción; publicar en portales, redes, base de clientes, aliados y canales de mensajería que considere adecuados.</w:t>
      </w:r>
    </w:p>
    <w:p>
      <w:pPr>
        <w:pStyle w:val="ContractSmall"/>
        <w:spacing w:after="24"/>
        <w:ind w:left="215" w:hanging="136"/>
        <w:jc w:val="both"/>
        <w:widowControl/>
      </w:pPr>
      <w:r>
        <w:rPr>
          <w:rFonts w:ascii="Arial" w:hAnsi="Arial"/>
          <w:sz w:val="16"/>
        </w:rPr>
        <w:t>• Filtrar interesados, coordinar visitas con cita previa, registrar contactos y objeciones, dar seguimiento y comunicar oportunamente a LA PARTE PROPIETARIA las ofertas serias.</w:t>
      </w:r>
    </w:p>
    <w:p>
      <w:pPr>
        <w:pStyle w:val="ContractSmall"/>
        <w:spacing w:after="24"/>
        <w:ind w:left="215" w:hanging="136"/>
        <w:jc w:val="both"/>
        <w:widowControl/>
      </w:pPr>
      <w:r>
        <w:rPr>
          <w:rFonts w:ascii="Arial" w:hAnsi="Arial"/>
          <w:sz w:val="16"/>
        </w:rPr>
        <w:t>• Realizar revisiones comerciales periódicas según lo establecido en el ANEXO A, evaluando contactos, visitas, objeciones, ofertas y comportamiento de anuncios comparables.</w:t>
      </w:r>
    </w:p>
    <w:p>
      <w:pPr>
        <w:pStyle w:val="ContractSmall"/>
        <w:spacing w:after="24"/>
        <w:ind w:left="215" w:hanging="136"/>
        <w:jc w:val="both"/>
        <w:widowControl/>
      </w:pPr>
      <w:r>
        <w:rPr>
          <w:rFonts w:ascii="Arial" w:hAnsi="Arial"/>
          <w:sz w:val="16"/>
        </w:rPr>
        <w:t>• Presentar, cuando corresponda, una hoja de liquidación comercial antes de que LA PARTE PROPIETARIA acepte una oferta que requiera verificar el neto, indicando precio, comisión, IVA aplicable, tributos conocidos o estimados y otros costos informados.</w:t>
      </w:r>
    </w:p>
    <w:p>
      <w:pPr>
        <w:pStyle w:val="ContractSmall"/>
        <w:spacing w:after="24"/>
        <w:ind w:left="215" w:hanging="136"/>
        <w:jc w:val="both"/>
        <w:widowControl/>
      </w:pPr>
      <w:r>
        <w:rPr>
          <w:rFonts w:ascii="Arial" w:hAnsi="Arial"/>
          <w:sz w:val="16"/>
        </w:rPr>
        <w:t>• No revelar datos personales, documentos de identidad o información sensible de LA PARTE PROPIETARIA a terceros salvo cuando sea necesario para el proceso, exista autorización o lo exija la ley.</w:t>
      </w:r>
    </w:p>
    <w:p>
      <w:pPr>
        <w:pStyle w:val="ContractSmall"/>
        <w:spacing w:after="24"/>
        <w:ind w:left="215" w:hanging="136"/>
        <w:jc w:val="both"/>
        <w:widowControl/>
      </w:pPr>
      <w:r>
        <w:rPr>
          <w:rFonts w:ascii="Arial" w:hAnsi="Arial"/>
          <w:sz w:val="16"/>
        </w:rPr>
        <w:t>• No garantizar la venta en un plazo determinado ni asegurar un precio final, rentabilidad futura, estado estructural o inexistencia de gravámenes que no hayan sido verificados documentalmente.</w:t>
      </w:r>
    </w:p>
    <w:p>
      <w:pPr>
        <w:keepNext/>
        <w:spacing w:before="110" w:after="40"/>
        <w:widowControl/>
      </w:pPr>
      <w:r>
        <w:rPr>
          <w:rFonts w:ascii="Arial" w:hAnsi="Arial"/>
          <w:b/>
          <w:color w:val="7E1F20"/>
          <w:sz w:val="22"/>
        </w:rPr>
        <w:t>DÉCIMA. OBLIGACIONES DE LA PARTE PROPIETARIA</w:t>
      </w:r>
    </w:p>
    <w:p>
      <w:pPr>
        <w:pStyle w:val="ContractSmall"/>
        <w:spacing w:after="24"/>
        <w:ind w:left="215" w:hanging="136"/>
        <w:jc w:val="both"/>
        <w:widowControl/>
      </w:pPr>
      <w:r>
        <w:rPr>
          <w:rFonts w:ascii="Arial" w:hAnsi="Arial"/>
          <w:sz w:val="16"/>
        </w:rPr>
        <w:t>• Entregar información veraz y documentación suficiente sobre titularidad, adquisición, estado civil, copropiedad, gravámenes, impuestos, servicios, arrendamientos, litigios, prohibiciones, afectaciones y cualquier circunstancia que pueda incidir en la venta.</w:t>
      </w:r>
    </w:p>
    <w:p>
      <w:pPr>
        <w:pStyle w:val="ContractSmall"/>
        <w:spacing w:after="24"/>
        <w:ind w:left="215" w:hanging="136"/>
        <w:jc w:val="both"/>
        <w:widowControl/>
      </w:pPr>
      <w:r>
        <w:rPr>
          <w:rFonts w:ascii="Arial" w:hAnsi="Arial"/>
          <w:sz w:val="16"/>
        </w:rPr>
        <w:t>• Facilitar el acceso razonable al inmueble para fotografías, inspecciones y visitas previamente coordinadas, procurando condiciones seguras para propietarios, inquilinos, interesados y corredor.</w:t>
      </w:r>
    </w:p>
    <w:p>
      <w:pPr>
        <w:pStyle w:val="ContractSmall"/>
        <w:spacing w:after="24"/>
        <w:ind w:left="215" w:hanging="136"/>
        <w:jc w:val="both"/>
        <w:widowControl/>
      </w:pPr>
      <w:r>
        <w:rPr>
          <w:rFonts w:ascii="Arial" w:hAnsi="Arial"/>
          <w:sz w:val="16"/>
        </w:rPr>
        <w:t>• Informar a EL CORREDOR cuando un prospecto presentado o gestionado por este se comunique directamente con LA PARTE PROPIETARIA, a fin de conservar la trazabilidad de la negociación y evitar controversias sobre la procedencia del comprador.</w:t>
      </w:r>
    </w:p>
    <w:p>
      <w:pPr>
        <w:pStyle w:val="ContractSmall"/>
        <w:spacing w:after="24"/>
        <w:ind w:left="215" w:hanging="136"/>
        <w:jc w:val="both"/>
        <w:widowControl/>
      </w:pPr>
      <w:r>
        <w:rPr>
          <w:rFonts w:ascii="Arial" w:hAnsi="Arial"/>
          <w:sz w:val="16"/>
        </w:rPr>
        <w:t>• Podrá encargar simultáneamente la venta a otros intermediarios o comercializarla directamente; sin embargo, procurará mantener condiciones de precio coherentes e informar si otro canal presenta a una persona previamente registrada por EL CORREDOR, para evitar duplicidades sobre un mismo prospecto.</w:t>
      </w:r>
    </w:p>
    <w:p>
      <w:pPr>
        <w:pStyle w:val="ContractSmall"/>
        <w:spacing w:after="24"/>
        <w:ind w:left="215" w:hanging="136"/>
        <w:jc w:val="both"/>
        <w:widowControl/>
      </w:pPr>
      <w:r>
        <w:rPr>
          <w:rFonts w:ascii="Arial" w:hAnsi="Arial"/>
          <w:sz w:val="16"/>
        </w:rPr>
        <w:t>• Obtener, a su costo salvo pacto distinto, los documentos y certificados que legalmente correspondan al vendedor, incluidos los necesarios para acreditar dominio y autorizar la transferencia.</w:t>
      </w:r>
    </w:p>
    <w:p>
      <w:pPr>
        <w:pStyle w:val="ContractSmall"/>
        <w:spacing w:after="24"/>
        <w:ind w:left="215" w:hanging="136"/>
        <w:jc w:val="both"/>
        <w:widowControl/>
      </w:pPr>
      <w:r>
        <w:rPr>
          <w:rFonts w:ascii="Arial" w:hAnsi="Arial"/>
          <w:sz w:val="16"/>
        </w:rPr>
        <w:t>• Pagar los honorarios en los casos y momentos establecidos en este contrato y no utilizar a terceros, familiares, sociedades o compradores vinculados para eludir una comisión válidamente causada.</w:t>
      </w:r>
    </w:p>
    <w:p>
      <w:pPr>
        <w:pStyle w:val="ContractSmall"/>
        <w:spacing w:after="24"/>
        <w:ind w:left="215" w:hanging="136"/>
        <w:jc w:val="both"/>
        <w:widowControl/>
      </w:pPr>
      <w:r>
        <w:rPr>
          <w:rFonts w:ascii="Arial" w:hAnsi="Arial"/>
          <w:sz w:val="16"/>
        </w:rPr>
        <w:t>• Comunicar inmediatamente cualquier cambio de precio, decisión de retirar temporalmente el inmueble, negociación previa no informada, proceso judicial, embargo, hipoteca, prohibición de enajenar o hecho que pueda afectar la comercialización.</w:t>
      </w:r>
    </w:p>
    <w:p>
      <w:pPr>
        <w:widowControl/>
      </w:pPr>
      <w:r>
        <w:br w:type="page"/>
      </w:r>
    </w:p>
    <w:p>
      <w:pPr>
        <w:keepNext/>
        <w:spacing w:before="110" w:after="40"/>
        <w:widowControl/>
      </w:pPr>
      <w:r>
        <w:rPr>
          <w:rFonts w:ascii="Arial" w:hAnsi="Arial"/>
          <w:b/>
          <w:color w:val="7E1F20"/>
          <w:sz w:val="22"/>
        </w:rPr>
        <w:t>DÉCIMA PRIMERA. DOCUMENTACIÓN Y DEBIDA DILIGENCIA PARA EL CIERRE</w:t>
      </w:r>
    </w:p>
    <w:p>
      <w:pPr>
        <w:pStyle w:val="ContractSmall"/>
        <w:spacing w:after="36"/>
        <w:jc w:val="both"/>
        <w:widowControl/>
      </w:pPr>
      <w:r>
        <w:rPr>
          <w:rFonts w:ascii="Arial" w:hAnsi="Arial"/>
          <w:sz w:val="16"/>
        </w:rPr>
        <w:t>11.1. La promoción puede iniciar con la documentación disponible, pero una negociación firme y el cierre deberán someterse a las verificaciones correspondientes. Entre otros, podrán requerirse:</w:t>
      </w:r>
    </w:p>
    <w:p>
      <w:pPr>
        <w:pStyle w:val="ContractSmall"/>
        <w:spacing w:after="24"/>
        <w:ind w:left="215" w:hanging="136"/>
        <w:jc w:val="both"/>
        <w:widowControl/>
      </w:pPr>
      <w:r>
        <w:rPr>
          <w:rFonts w:ascii="Arial" w:hAnsi="Arial"/>
          <w:sz w:val="16"/>
        </w:rPr>
        <w:t>• Escritura o título mediante el cual los titulares adquirieron el inmueble y documentos que acrediten porcentajes de derechos.</w:t>
      </w:r>
    </w:p>
    <w:p>
      <w:pPr>
        <w:pStyle w:val="ContractSmall"/>
        <w:spacing w:after="24"/>
        <w:ind w:left="215" w:hanging="136"/>
        <w:jc w:val="both"/>
        <w:widowControl/>
      </w:pPr>
      <w:r>
        <w:rPr>
          <w:rFonts w:ascii="Arial" w:hAnsi="Arial"/>
          <w:sz w:val="16"/>
        </w:rPr>
        <w:t>• Certificado de gravámenes actualizado del Registro de la Propiedad, antes de una promesa vinculante o de la escritura, según corresponda.</w:t>
      </w:r>
    </w:p>
    <w:p>
      <w:pPr>
        <w:pStyle w:val="ContractSmall"/>
        <w:spacing w:after="24"/>
        <w:ind w:left="215" w:hanging="136"/>
        <w:jc w:val="both"/>
        <w:widowControl/>
      </w:pPr>
      <w:r>
        <w:rPr>
          <w:rFonts w:ascii="Arial" w:hAnsi="Arial"/>
          <w:sz w:val="16"/>
        </w:rPr>
        <w:t>• Certificación catastral para transferencia y verificación de áreas y construcciones registradas.</w:t>
      </w:r>
    </w:p>
    <w:p>
      <w:pPr>
        <w:pStyle w:val="ContractSmall"/>
        <w:spacing w:after="24"/>
        <w:ind w:left="215" w:hanging="136"/>
        <w:jc w:val="both"/>
        <w:widowControl/>
      </w:pPr>
      <w:r>
        <w:rPr>
          <w:rFonts w:ascii="Arial" w:hAnsi="Arial"/>
          <w:sz w:val="16"/>
        </w:rPr>
        <w:t>• Liquidación municipal de utilidades/plusvalía, cuando corresponda, antes de fijar definitivamente un precio que dependa del neto del vendedor.</w:t>
      </w:r>
    </w:p>
    <w:p>
      <w:pPr>
        <w:pStyle w:val="ContractSmall"/>
        <w:spacing w:after="24"/>
        <w:ind w:left="215" w:hanging="136"/>
        <w:jc w:val="both"/>
        <w:widowControl/>
      </w:pPr>
      <w:r>
        <w:rPr>
          <w:rFonts w:ascii="Arial" w:hAnsi="Arial"/>
          <w:sz w:val="16"/>
        </w:rPr>
        <w:t>• Estado de cuenta de agua potable, alcantarillado, predial, convenios u otros valores pendientes, según corresponda.</w:t>
      </w:r>
    </w:p>
    <w:p>
      <w:pPr>
        <w:pStyle w:val="ContractSmall"/>
        <w:spacing w:after="24"/>
        <w:ind w:left="215" w:hanging="136"/>
        <w:jc w:val="both"/>
        <w:widowControl/>
      </w:pPr>
      <w:r>
        <w:rPr>
          <w:rFonts w:ascii="Arial" w:hAnsi="Arial"/>
          <w:sz w:val="16"/>
        </w:rPr>
        <w:t>• Contratos, depósitos y situación jurídica de los inquilinos, definiendo si el inmueble se entrega arrendado, desocupado o en una fecha acordada.</w:t>
      </w:r>
    </w:p>
    <w:p>
      <w:pPr>
        <w:pStyle w:val="ContractSmall"/>
        <w:spacing w:after="24"/>
        <w:ind w:left="215" w:hanging="136"/>
        <w:jc w:val="both"/>
        <w:widowControl/>
      </w:pPr>
      <w:r>
        <w:rPr>
          <w:rFonts w:ascii="Arial" w:hAnsi="Arial"/>
          <w:sz w:val="16"/>
        </w:rPr>
        <w:t>• Documentos de identidad, estado civil, autorizaciones, poderes o comparecencias de todos los titulares que legalmente deban intervenir.</w:t>
      </w:r>
    </w:p>
    <w:p>
      <w:pPr>
        <w:pStyle w:val="ContractSmall"/>
        <w:spacing w:after="36"/>
        <w:jc w:val="both"/>
        <w:widowControl/>
      </w:pPr>
      <w:r>
        <w:rPr>
          <w:rFonts w:ascii="Arial" w:hAnsi="Arial"/>
          <w:sz w:val="16"/>
        </w:rPr>
        <w:t>11.2. Antes de comprometer jurídicamente la venta deberá verificarse mediante el certificado registral vigente la identidad exacta de todos los titulares, sus porcentajes de derechos y cualquier limitación al dominio. Esta verificación protege a ambas partes y al eventual comprador.</w:t>
      </w:r>
    </w:p>
    <w:p>
      <w:pPr>
        <w:keepNext/>
        <w:spacing w:before="110" w:after="40"/>
        <w:widowControl/>
      </w:pPr>
      <w:r>
        <w:rPr>
          <w:rFonts w:ascii="Arial" w:hAnsi="Arial"/>
          <w:b/>
          <w:color w:val="7E1F20"/>
          <w:sz w:val="22"/>
        </w:rPr>
        <w:t>DÉCIMA SEGUNDA. OFERTAS, RESERVAS, PAGOS Y MANEJO DE FONDOS</w:t>
      </w:r>
    </w:p>
    <w:p>
      <w:pPr>
        <w:pStyle w:val="ContractSmall"/>
        <w:spacing w:after="36"/>
        <w:jc w:val="both"/>
        <w:widowControl/>
      </w:pPr>
      <w:r>
        <w:rPr>
          <w:rFonts w:ascii="Arial" w:hAnsi="Arial"/>
          <w:sz w:val="16"/>
        </w:rPr>
        <w:t>12.1. Toda oferta será trasladada a LA PARTE PROPIETARIA, quien conservará la facultad de aceptarla, rechazarla o formular una contraoferta. La simple presentación de una oferta no obliga a vender ni genera comisión si no se configura alguno de los supuestos expresamente pactados en este contrato.</w:t>
      </w:r>
    </w:p>
    <w:p>
      <w:pPr>
        <w:pStyle w:val="ContractSmall"/>
        <w:spacing w:after="36"/>
        <w:jc w:val="both"/>
        <w:widowControl/>
      </w:pPr>
      <w:r>
        <w:rPr>
          <w:rFonts w:ascii="Arial" w:hAnsi="Arial"/>
          <w:sz w:val="16"/>
        </w:rPr>
        <w:t>12.2. EL CORREDOR no recibirá ni custodiará arras, reservas, anticipos o parte del precio en nombre de LA PARTE PROPIETARIA, salvo autorización específica y escrita que determine monto, finalidad, cuenta, custodia, devolución y comprobante. Como regla de seguridad, los pagos del comprador se dirigirán a la parte vendedora o al mecanismo formal que se acuerde en la promesa o escritura.</w:t>
      </w:r>
    </w:p>
    <w:p>
      <w:pPr>
        <w:pStyle w:val="ContractSmall"/>
        <w:spacing w:after="36"/>
        <w:jc w:val="both"/>
        <w:widowControl/>
      </w:pPr>
      <w:r>
        <w:rPr>
          <w:rFonts w:ascii="Arial" w:hAnsi="Arial"/>
          <w:sz w:val="16"/>
        </w:rPr>
        <w:t>12.3. Toda reserva o promesa deberá definir con claridad precio, forma de pago, plazo, condición de crédito si existiere, documentos pendientes, tratamiento de inquilinos, entrega, gravámenes, impuestos, gastos y consecuencias del incumplimiento.</w:t>
      </w:r>
    </w:p>
    <w:p>
      <w:pPr>
        <w:keepNext/>
        <w:spacing w:before="110" w:after="40"/>
        <w:widowControl/>
      </w:pPr>
      <w:r>
        <w:rPr>
          <w:rFonts w:ascii="Arial" w:hAnsi="Arial"/>
          <w:b/>
          <w:color w:val="7E1F20"/>
          <w:sz w:val="22"/>
        </w:rPr>
        <w:t>DÉCIMA TERCERA. PUBLICIDAD, IMAGEN DEL INMUEBLE Y COOPERACIÓN CON OTROS CORREDORES</w:t>
      </w:r>
    </w:p>
    <w:p>
      <w:pPr>
        <w:pStyle w:val="ContractSmall"/>
        <w:spacing w:after="36"/>
        <w:jc w:val="both"/>
        <w:widowControl/>
      </w:pPr>
      <w:r>
        <w:rPr>
          <w:rFonts w:ascii="Arial" w:hAnsi="Arial"/>
          <w:sz w:val="16"/>
        </w:rPr>
        <w:t>13.1. LA PARTE PROPIETARIA autoriza a EL CORREDOR a fotografiar y grabar el inmueble y a utilizar dichas imágenes, ubicación general, datos técnicos y precio para fines de comercialización durante la vigencia, cuidando de no exponer documentos de identidad, datos personales innecesarios ni información de seguridad sensible.</w:t>
      </w:r>
    </w:p>
    <w:p>
      <w:pPr>
        <w:pStyle w:val="ContractSmall"/>
        <w:spacing w:after="36"/>
        <w:jc w:val="both"/>
        <w:widowControl/>
      </w:pPr>
      <w:r>
        <w:rPr>
          <w:rFonts w:ascii="Arial" w:hAnsi="Arial"/>
          <w:sz w:val="16"/>
        </w:rPr>
        <w:t>13.2. EL CORREDOR podrá cooperar con otros corredores o redes de referidos. Salvo acuerdo escrito distinto, cualquier reparto de honorarios entre profesionales será gestionado por EL CORREDOR y no aumentará el porcentaje de comisión más IVA que LA PARTE PROPIETARIA se obliga a pagar bajo este contrato.</w:t>
      </w:r>
    </w:p>
    <w:p>
      <w:pPr>
        <w:keepNext/>
        <w:spacing w:before="110" w:after="40"/>
        <w:widowControl/>
      </w:pPr>
      <w:r>
        <w:rPr>
          <w:rFonts w:ascii="Arial" w:hAnsi="Arial"/>
          <w:b/>
          <w:color w:val="7E1F20"/>
          <w:sz w:val="22"/>
        </w:rPr>
        <w:t>DÉCIMA CUARTA. TRIBUTOS, GASTOS Y MONTO NETO</w:t>
      </w:r>
    </w:p>
    <w:p>
      <w:pPr>
        <w:pStyle w:val="ContractSmall"/>
        <w:spacing w:after="36"/>
        <w:jc w:val="both"/>
        <w:widowControl/>
      </w:pPr>
      <w:r>
        <w:rPr>
          <w:rFonts w:ascii="Arial" w:hAnsi="Arial"/>
          <w:sz w:val="16"/>
        </w:rPr>
        <w:t>14.1. Cada parte asumirá los impuestos, tasas, honorarios notariales, registrales y demás gastos que legalmente le correspondan o que se pacten en el negocio definitivo. Corresponden a LA PARTE PROPIETARIA, cuando sean aplicables, sus obligaciones pendientes, costos de cancelación de gravámenes, tributos de la transferencia y adecuaciones que expresamente acepte realizar.</w:t>
      </w:r>
    </w:p>
    <w:p>
      <w:pPr>
        <w:pStyle w:val="ContractSmall"/>
        <w:spacing w:after="36"/>
        <w:jc w:val="both"/>
        <w:widowControl/>
      </w:pPr>
      <w:r>
        <w:rPr>
          <w:rFonts w:ascii="Arial" w:hAnsi="Arial"/>
          <w:sz w:val="16"/>
        </w:rPr>
        <w:t>14.2. Cualquier meta neta utilizada en la estrategia comercial será referencial y no constituirá obligación de resultado de EL CORREDOR. Antes de aceptar valores que dependan de un neto específico deberá revisarse la liquidación real de tributos y todos los costos del vendedor.</w:t>
      </w:r>
    </w:p>
    <w:p>
      <w:pPr>
        <w:widowControl/>
      </w:pPr>
      <w:r>
        <w:br w:type="page"/>
      </w:r>
    </w:p>
    <w:p>
      <w:pPr>
        <w:keepNext/>
        <w:spacing w:before="110" w:after="40"/>
        <w:widowControl/>
      </w:pPr>
      <w:r>
        <w:rPr>
          <w:rFonts w:ascii="Arial" w:hAnsi="Arial"/>
          <w:b/>
          <w:color w:val="7E1F20"/>
          <w:sz w:val="22"/>
        </w:rPr>
        <w:t>DÉCIMA QUINTA. TERMINACIÓN ANTICIPADA</w:t>
      </w:r>
    </w:p>
    <w:p>
      <w:pPr>
        <w:pStyle w:val="ContractSmall"/>
        <w:spacing w:after="36"/>
        <w:jc w:val="both"/>
        <w:widowControl/>
      </w:pPr>
      <w:r>
        <w:rPr>
          <w:rFonts w:ascii="Arial" w:hAnsi="Arial"/>
          <w:sz w:val="16"/>
        </w:rPr>
        <w:t>15.1. El contrato terminará por: vencimiento del plazo; venta y cierre de la operación; acuerdo escrito de las partes; imposibilidad legal comprobada de vender; o incumplimiento grave de una parte no subsanado dentro de cinco (5) días hábiles después de recibir requerimiento escrito, cuando la naturaleza del incumplimiento permita subsanación.</w:t>
      </w:r>
    </w:p>
    <w:p>
      <w:pPr>
        <w:pStyle w:val="ContractSmall"/>
        <w:spacing w:after="36"/>
        <w:jc w:val="both"/>
        <w:widowControl/>
      </w:pPr>
      <w:r>
        <w:rPr>
          <w:rFonts w:ascii="Arial" w:hAnsi="Arial"/>
          <w:sz w:val="16"/>
        </w:rPr>
        <w:t>15.2. La terminación anticipada no extinguirá obligaciones ya causadas, pagos pendientes, confidencialidad ni la protección postcontractual de prospectos. Si LA PARTE PROPIETARIA retira el inmueble por decisión propia sin que exista incumplimiento de EL CORREDOR, ello no generará por sí solo una multa fija, pero no podrá utilizarse para eludir una comisión por una negociación o prospecto protegido originado durante el contrato.</w:t>
      </w:r>
    </w:p>
    <w:p>
      <w:pPr>
        <w:keepNext/>
        <w:spacing w:before="110" w:after="40"/>
        <w:widowControl/>
      </w:pPr>
      <w:r>
        <w:rPr>
          <w:rFonts w:ascii="Arial" w:hAnsi="Arial"/>
          <w:b/>
          <w:color w:val="7E1F20"/>
          <w:sz w:val="22"/>
        </w:rPr>
        <w:t>DÉCIMA SEXTA. RESPONSABILIDAD, DECLARACIONES Y LÍMITES PROFESIONALES</w:t>
      </w:r>
    </w:p>
    <w:p>
      <w:pPr>
        <w:pStyle w:val="ContractSmall"/>
        <w:spacing w:after="36"/>
        <w:jc w:val="both"/>
        <w:widowControl/>
      </w:pPr>
      <w:r>
        <w:rPr>
          <w:rFonts w:ascii="Arial" w:hAnsi="Arial"/>
          <w:sz w:val="16"/>
        </w:rPr>
        <w:t>16.1. LA PARTE PROPIETARIA responde por la veracidad de los hechos y documentos que suministre y por la existencia de su derecho para disponer. EL CORREDOR responderá por el cumplimiento diligente de sus obligaciones de intermediación dentro de su ámbito profesional, pero no por vicios ocultos, defectos estructurales, datos registrales falsos aportados por terceros, decisiones de entidades públicas, aprobación de créditos, conductas de compradores o hechos fuera de su control.</w:t>
      </w:r>
    </w:p>
    <w:p>
      <w:pPr>
        <w:pStyle w:val="ContractSmall"/>
        <w:spacing w:after="36"/>
        <w:jc w:val="both"/>
        <w:widowControl/>
      </w:pPr>
      <w:r>
        <w:rPr>
          <w:rFonts w:ascii="Arial" w:hAnsi="Arial"/>
          <w:sz w:val="16"/>
        </w:rPr>
        <w:t>16.2. Ninguna de las partes podrá anunciar como hecho cierto un dato material que se sepa falso. Cuando una información sea estimada, aproximada o dependa de una verificación futura, deberá presentarse como tal.</w:t>
      </w:r>
    </w:p>
    <w:p>
      <w:pPr>
        <w:keepNext/>
        <w:spacing w:before="110" w:after="40"/>
        <w:widowControl/>
      </w:pPr>
      <w:r>
        <w:rPr>
          <w:rFonts w:ascii="Arial" w:hAnsi="Arial"/>
          <w:b/>
          <w:color w:val="7E1F20"/>
          <w:sz w:val="22"/>
        </w:rPr>
        <w:t>DÉCIMA SÉPTIMA. CONFIDENCIALIDAD Y DATOS PERSONALES</w:t>
      </w:r>
    </w:p>
    <w:p>
      <w:pPr>
        <w:pStyle w:val="ContractSmall"/>
        <w:spacing w:after="36"/>
        <w:jc w:val="both"/>
        <w:widowControl/>
      </w:pPr>
      <w:r>
        <w:rPr>
          <w:rFonts w:ascii="Arial" w:hAnsi="Arial"/>
          <w:sz w:val="16"/>
        </w:rPr>
        <w:t>Las partes autorizan el tratamiento de los datos personales estrictamente necesarios para identificación, contacto, gestión de visitas, ofertas, cumplimiento contractual, facturación, archivo y obligaciones legales. EL CORREDOR aplicará medidas razonables de confidencialidad y limitará la divulgación a potenciales compradores, profesionales y autoridades cuando sea necesario para el proceso. Esta autorización no permite utilizar documentos de identidad o datos sensibles con fines ajenos a la operación.</w:t>
      </w:r>
    </w:p>
    <w:p>
      <w:pPr>
        <w:keepNext/>
        <w:spacing w:before="110" w:after="40"/>
        <w:widowControl/>
      </w:pPr>
      <w:r>
        <w:rPr>
          <w:rFonts w:ascii="Arial" w:hAnsi="Arial"/>
          <w:b/>
          <w:color w:val="7E1F20"/>
          <w:sz w:val="22"/>
        </w:rPr>
        <w:t>DÉCIMA OCTAVA. COMUNICACIONES Y MODIFICACIONES</w:t>
      </w:r>
    </w:p>
    <w:p>
      <w:pPr>
        <w:pStyle w:val="ContractSmall"/>
        <w:spacing w:after="36"/>
        <w:jc w:val="both"/>
        <w:widowControl/>
      </w:pPr>
      <w:r>
        <w:rPr>
          <w:rFonts w:ascii="Arial" w:hAnsi="Arial"/>
          <w:sz w:val="16"/>
        </w:rPr>
        <w:t>18.1. Para coordinación operativa se reconocen como canales válidos: LA PARTE PROPIETARIA, teléfono/WhatsApp ______________________________ y correo ______________________________________________; EL CORREDOR, teléfono/WhatsApp ______________________________ y correo ______________________________________________. También se reconocerán mensajes escritos que permitan identificar razonablemente al remitente. Las partes procurarán conservar evidencia de ofertas, autorizaciones de visita y listas de prospectos.</w:t>
      </w:r>
    </w:p>
    <w:p>
      <w:pPr>
        <w:pStyle w:val="ContractSmall"/>
        <w:spacing w:after="36"/>
        <w:jc w:val="both"/>
        <w:widowControl/>
      </w:pPr>
      <w:r>
        <w:rPr>
          <w:rFonts w:ascii="Arial" w:hAnsi="Arial"/>
          <w:sz w:val="16"/>
        </w:rPr>
        <w:t>18.2. La modificación del plazo, porcentaje de comisión, precio mínimo obligatorio, carácter no exclusivo del encargo, período de protección o cualquier otro elemento esencial requerirá un documento adicional firmado por las partes o un instrumento electrónico que cumpla las formalidades legales aplicables y exprese de forma inequívoca la modificación.</w:t>
      </w:r>
    </w:p>
    <w:p>
      <w:pPr>
        <w:keepNext/>
        <w:spacing w:before="110" w:after="40"/>
        <w:widowControl/>
      </w:pPr>
      <w:r>
        <w:rPr>
          <w:rFonts w:ascii="Arial" w:hAnsi="Arial"/>
          <w:b/>
          <w:color w:val="7E1F20"/>
          <w:sz w:val="22"/>
        </w:rPr>
        <w:t>DÉCIMA NOVENA. SOLUCIÓN DE CONTROVERSIAS Y JURISDICCIÓN</w:t>
      </w:r>
    </w:p>
    <w:p>
      <w:pPr>
        <w:pStyle w:val="ContractSmall"/>
        <w:spacing w:after="36"/>
        <w:jc w:val="both"/>
        <w:widowControl/>
      </w:pPr>
      <w:r>
        <w:rPr>
          <w:rFonts w:ascii="Arial" w:hAnsi="Arial"/>
          <w:sz w:val="16"/>
        </w:rPr>
        <w:t>Las partes procurarán resolver de buena fe cualquier diferencia mediante negociación directa. Si no fuere posible, podrán acudir voluntariamente a mediación en un centro legalmente autorizado. Si la controversia no se resuelve por acuerdo, será conocida por los jueces competentes de ______________________________, Ecuador, conforme a las reglas legales de competencia y procedimiento aplicables.</w:t>
      </w:r>
    </w:p>
    <w:p>
      <w:pPr>
        <w:keepNext/>
        <w:spacing w:before="110" w:after="40"/>
        <w:widowControl/>
      </w:pPr>
      <w:r>
        <w:rPr>
          <w:rFonts w:ascii="Arial" w:hAnsi="Arial"/>
          <w:b/>
          <w:color w:val="7E1F20"/>
          <w:sz w:val="22"/>
        </w:rPr>
        <w:t>VIGÉSIMA. INTEGRIDAD, NULIDAD PARCIAL Y ACEPTACIÓN</w:t>
      </w:r>
    </w:p>
    <w:p>
      <w:pPr>
        <w:pStyle w:val="ContractSmall"/>
        <w:spacing w:after="36"/>
        <w:jc w:val="both"/>
        <w:widowControl/>
      </w:pPr>
      <w:r>
        <w:rPr>
          <w:rFonts w:ascii="Arial" w:hAnsi="Arial"/>
          <w:sz w:val="16"/>
        </w:rPr>
        <w:t>20.1. Este contrato y sus anexos contienen el acuerdo completo sobre el encargo de corretaje. La invalidez de una disposición no afectará las demás cuando puedan subsistir de manera independiente; en tal caso se interpretará o sustituirá la cláusula en el sentido legal que más se aproxime a su finalidad legítima y equilibrada.</w:t>
      </w:r>
    </w:p>
    <w:p>
      <w:pPr>
        <w:pStyle w:val="ContractSmall"/>
        <w:spacing w:after="36"/>
        <w:jc w:val="both"/>
        <w:widowControl/>
      </w:pPr>
      <w:r>
        <w:rPr>
          <w:rFonts w:ascii="Arial" w:hAnsi="Arial"/>
          <w:sz w:val="16"/>
        </w:rPr>
        <w:t>20.2. Las partes declaran haber leído el contrato, comprender que el encargo es ABIERTO Y NO EXCLUSIVO, el plazo de ______ (______) meses, la comisión del ______ % más IVA vigente aplicable únicamente a operaciones con prospectos atribuibles a EL CORREDOR y la protección postcontractual de ______ (______) meses para prospectos documentados, y lo aceptan libremente. Se firma en ejemplares del mismo tenor y valor.</w:t>
      </w:r>
    </w:p>
    <w:p>
      <w:pPr>
        <w:widowControl/>
      </w:pPr>
      <w:r>
        <w:br w:type="page"/>
      </w:r>
    </w:p>
    <w:p>
      <w:pPr>
        <w:spacing w:after="80"/>
        <w:jc w:val="center"/>
        <w:widowControl/>
      </w:pPr>
      <w:r>
        <w:rPr>
          <w:rFonts w:ascii="Arial" w:hAnsi="Arial"/>
          <w:b/>
          <w:color w:val="7E1F20"/>
          <w:sz w:val="30"/>
        </w:rPr>
        <w:t>RESUMEN PARA FIRMA</w:t>
      </w:r>
    </w:p>
    <w:tbl>
      <w:tblPr>
        <w:tblW w:type="auto" w:w="0"/>
        <w:jc w:val="center"/>
        <w:tblLayout w:type="fixed"/>
        <w:tblLook w:firstColumn="1" w:firstRow="1" w:lastColumn="0" w:lastRow="0" w:noHBand="0" w:noVBand="1" w:val="04A0"/>
      </w:tblPr>
      <w:tblGrid>
        <w:gridCol w:w="5074"/>
        <w:gridCol w:w="5074"/>
      </w:tblGrid>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Modalidad</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ABIERTO / SIN EXCLUSIVIDAD</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Plazo del encargo</w:t>
            </w:r>
          </w:p>
        </w:tc>
        <w:tc>
          <w:tcPr>
            <w:tcW w:type="dxa" w:w="589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(____) meses desde la firma</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Comisión</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 del precio total de venta + IVA vigente sobre la comisión</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Protección postcontractual</w:t>
            </w:r>
          </w:p>
        </w:tc>
        <w:tc>
          <w:tcPr>
            <w:tcW w:type="dxa" w:w="5896"/>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________ (____) meses para prospectos referidos/documentados durante la vigencia</w:t>
            </w:r>
          </w:p>
        </w:tc>
      </w:tr>
      <w:tr>
        <w:tc>
          <w:tcPr>
            <w:tcW w:type="dxa" w:w="4082"/>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7"/>
              </w:rPr>
              <w:t>Precio autorizado</w:t>
            </w:r>
          </w:p>
        </w:tc>
        <w:tc>
          <w:tcPr>
            <w:tcW w:type="dxa" w:w="5896"/>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7"/>
              </w:rPr>
              <w:t>Publicación: USD __________________ | Rango: USD __________ a USD __________ | Piso: USD __________ / No aplica</w:t>
            </w:r>
          </w:p>
        </w:tc>
      </w:tr>
    </w:tbl>
    <w:p>
      <w:pPr>
        <w:spacing w:after="0"/>
        <w:widowControl/>
      </w:pPr>
    </w:p>
    <w:p>
      <w:pPr>
        <w:spacing w:after="200"/>
        <w:jc w:val="center"/>
        <w:widowControl/>
      </w:pPr>
      <w:r>
        <w:rPr>
          <w:rFonts w:ascii="Arial" w:hAnsi="Arial"/>
          <w:sz w:val="18"/>
        </w:rPr>
        <w:t>Las firmas siguientes ratifican la aceptación íntegra del contrato y sus anexos, en especial las condiciones resumidas arriba.</w:t>
      </w:r>
    </w:p>
    <w:tbl>
      <w:tblPr>
        <w:tblW w:type="auto" w:w="0"/>
        <w:jc w:val="center"/>
        <w:tblLayout w:type="fixed"/>
        <w:tblLook w:firstColumn="1" w:firstRow="1" w:lastColumn="0" w:lastRow="0" w:noHBand="0" w:noVBand="1" w:val="04A0"/>
      </w:tblPr>
      <w:tblGrid>
        <w:gridCol w:w="5074"/>
        <w:gridCol w:w="5074"/>
      </w:tblGrid>
      <w:tr>
        <w:trPr>
          <w:trHeight w:val="2041"/>
        </w:trPr>
        <w:tc>
          <w:tcPr>
            <w:tcW w:type="dxa" w:w="4819"/>
            <w:vAlign w:val="bottom"/>
            <w:tcMar>
              <w:top w:w="100" w:type="dxa"/>
              <w:start w:w="120" w:type="dxa"/>
              <w:bottom w:w="100" w:type="dxa"/>
              <w:end w:w="120" w:type="dxa"/>
            </w:tcMar>
            <w:tcBorders>
              <w:top w:val="nil"/>
              <w:left w:val="nil"/>
              <w:bottom w:val="nil"/>
              <w:right w:val="nil"/>
            </w:tcBorders>
          </w:tcPr>
          <w:p>
            <w:pPr>
              <w:spacing w:after="0"/>
              <w:jc w:val="center"/>
            </w:pPr>
            <w:r>
              <w:rPr>
                <w:rFonts w:ascii="Arial" w:hAnsi="Arial"/>
                <w:b w:val="0"/>
                <w:sz w:val="16"/>
              </w:rPr>
              <w:t>__________________________________</w:t>
              <w:br/>
            </w:r>
            <w:r>
              <w:rPr>
                <w:rFonts w:ascii="Arial" w:hAnsi="Arial"/>
                <w:b/>
                <w:sz w:val="16"/>
              </w:rPr>
              <w:t>PROPIETARIO/A 1</w:t>
              <w:br/>
            </w:r>
            <w:r>
              <w:rPr>
                <w:rFonts w:ascii="Arial" w:hAnsi="Arial"/>
                <w:b w:val="0"/>
                <w:sz w:val="16"/>
              </w:rPr>
              <w:t>C.C. __________________________</w:t>
              <w:br/>
            </w:r>
            <w:r>
              <w:rPr>
                <w:rFonts w:ascii="Arial" w:hAnsi="Arial"/>
                <w:b w:val="0"/>
                <w:sz w:val="16"/>
              </w:rPr>
              <w:t>LA PARTE PROPIETARIA</w:t>
            </w:r>
          </w:p>
        </w:tc>
        <w:tc>
          <w:tcPr>
            <w:tcW w:type="dxa" w:w="4819"/>
            <w:vAlign w:val="bottom"/>
            <w:tcMar>
              <w:top w:w="100" w:type="dxa"/>
              <w:start w:w="120" w:type="dxa"/>
              <w:bottom w:w="100" w:type="dxa"/>
              <w:end w:w="120" w:type="dxa"/>
            </w:tcMar>
            <w:tcBorders>
              <w:top w:val="nil"/>
              <w:left w:val="nil"/>
              <w:bottom w:val="nil"/>
              <w:right w:val="nil"/>
            </w:tcBorders>
          </w:tcPr>
          <w:p>
            <w:pPr>
              <w:spacing w:after="0"/>
              <w:jc w:val="center"/>
            </w:pPr>
            <w:r>
              <w:rPr>
                <w:rFonts w:ascii="Arial" w:hAnsi="Arial"/>
                <w:b w:val="0"/>
                <w:sz w:val="16"/>
              </w:rPr>
              <w:t>__________________________________</w:t>
              <w:br/>
            </w:r>
            <w:r>
              <w:rPr>
                <w:rFonts w:ascii="Arial" w:hAnsi="Arial"/>
                <w:b/>
                <w:sz w:val="16"/>
              </w:rPr>
              <w:t>PROPIETARIO/A 2 (si aplica)</w:t>
              <w:br/>
            </w:r>
            <w:r>
              <w:rPr>
                <w:rFonts w:ascii="Arial" w:hAnsi="Arial"/>
                <w:b w:val="0"/>
                <w:sz w:val="16"/>
              </w:rPr>
              <w:t>C.C. __________________________</w:t>
              <w:br/>
            </w:r>
            <w:r>
              <w:rPr>
                <w:rFonts w:ascii="Arial" w:hAnsi="Arial"/>
                <w:b w:val="0"/>
                <w:sz w:val="16"/>
              </w:rPr>
              <w:t>LA PARTE PROPIETARIA</w:t>
            </w:r>
          </w:p>
        </w:tc>
      </w:tr>
      <w:tr>
        <w:trPr>
          <w:trHeight w:val="2041"/>
        </w:trPr>
        <w:tc>
          <w:tcPr>
            <w:tcW w:type="dxa" w:w="4819"/>
            <w:vAlign w:val="bottom"/>
            <w:tcMar>
              <w:top w:w="100" w:type="dxa"/>
              <w:start w:w="120" w:type="dxa"/>
              <w:bottom w:w="100" w:type="dxa"/>
              <w:end w:w="120" w:type="dxa"/>
            </w:tcMar>
            <w:tcBorders>
              <w:top w:val="nil"/>
              <w:left w:val="nil"/>
              <w:bottom w:val="nil"/>
              <w:right w:val="nil"/>
            </w:tcBorders>
          </w:tcPr>
          <w:p>
            <w:pPr>
              <w:spacing w:after="0"/>
              <w:jc w:val="center"/>
            </w:pPr>
            <w:r>
              <w:rPr>
                <w:rFonts w:ascii="Arial" w:hAnsi="Arial"/>
                <w:b w:val="0"/>
                <w:sz w:val="16"/>
              </w:rPr>
              <w:t>__________________________________</w:t>
              <w:br/>
            </w:r>
            <w:r>
              <w:rPr>
                <w:rFonts w:ascii="Arial" w:hAnsi="Arial"/>
                <w:b/>
                <w:sz w:val="16"/>
              </w:rPr>
              <w:t>PROPIETARIO/A 3 (si aplica)</w:t>
              <w:br/>
            </w:r>
            <w:r>
              <w:rPr>
                <w:rFonts w:ascii="Arial" w:hAnsi="Arial"/>
                <w:b w:val="0"/>
                <w:sz w:val="16"/>
              </w:rPr>
              <w:t>C.C. __________________________</w:t>
              <w:br/>
            </w:r>
            <w:r>
              <w:rPr>
                <w:rFonts w:ascii="Arial" w:hAnsi="Arial"/>
                <w:b w:val="0"/>
                <w:sz w:val="16"/>
              </w:rPr>
              <w:t>LA PARTE PROPIETARIA</w:t>
            </w:r>
          </w:p>
        </w:tc>
        <w:tc>
          <w:tcPr>
            <w:tcW w:type="dxa" w:w="4819"/>
            <w:vAlign w:val="bottom"/>
            <w:tcMar>
              <w:top w:w="100" w:type="dxa"/>
              <w:start w:w="120" w:type="dxa"/>
              <w:bottom w:w="100" w:type="dxa"/>
              <w:end w:w="120" w:type="dxa"/>
            </w:tcMar>
            <w:tcBorders>
              <w:top w:val="nil"/>
              <w:left w:val="nil"/>
              <w:bottom w:val="nil"/>
              <w:right w:val="nil"/>
            </w:tcBorders>
          </w:tcPr>
          <w:p>
            <w:pPr>
              <w:spacing w:after="0"/>
              <w:jc w:val="center"/>
            </w:pPr>
            <w:r>
              <w:rPr>
                <w:rFonts w:ascii="Arial" w:hAnsi="Arial"/>
                <w:b w:val="0"/>
                <w:sz w:val="16"/>
              </w:rPr>
              <w:t>__________________________________</w:t>
              <w:br/>
            </w:r>
            <w:r>
              <w:rPr>
                <w:rFonts w:ascii="Arial" w:hAnsi="Arial"/>
                <w:b/>
                <w:sz w:val="16"/>
              </w:rPr>
              <w:t>EL CORREDOR</w:t>
              <w:br/>
            </w:r>
            <w:r>
              <w:rPr>
                <w:rFonts w:ascii="Arial" w:hAnsi="Arial"/>
                <w:b w:val="0"/>
                <w:sz w:val="16"/>
              </w:rPr>
              <w:t>C.C. __________________________</w:t>
              <w:br/>
            </w:r>
            <w:r>
              <w:rPr>
                <w:rFonts w:ascii="Arial" w:hAnsi="Arial"/>
                <w:b w:val="0"/>
                <w:sz w:val="16"/>
              </w:rPr>
              <w:t>Licencia profesional __________________</w:t>
            </w:r>
          </w:p>
        </w:tc>
      </w:tr>
    </w:tbl>
    <w:p>
      <w:pPr>
        <w:spacing w:before="200"/>
        <w:jc w:val="center"/>
        <w:widowControl/>
      </w:pPr>
      <w:r>
        <w:rPr>
          <w:rFonts w:ascii="Arial" w:hAnsi="Arial"/>
          <w:b/>
          <w:color w:val="505C2B"/>
          <w:sz w:val="18"/>
        </w:rPr>
        <w:t>Lugar y fecha de firma: ______________________________, ______ / ______ / 20______</w:t>
      </w:r>
    </w:p>
    <w:p>
      <w:pPr>
        <w:widowControl/>
      </w:pPr>
      <w:r>
        <w:br w:type="page"/>
      </w:r>
    </w:p>
    <w:p>
      <w:pPr>
        <w:spacing w:after="60"/>
        <w:jc w:val="center"/>
        <w:widowControl/>
      </w:pPr>
      <w:r>
        <w:rPr>
          <w:rFonts w:ascii="Arial" w:hAnsi="Arial"/>
          <w:b/>
          <w:color w:val="7E1F20"/>
          <w:sz w:val="28"/>
        </w:rPr>
        <w:t>ANEXO A - FICHA DE CONDICIONES COMERCIALES ACEPTADAS</w:t>
      </w:r>
    </w:p>
    <w:p>
      <w:pPr>
        <w:pStyle w:val="ContractSmall"/>
        <w:spacing w:after="36"/>
        <w:jc w:val="both"/>
        <w:widowControl/>
      </w:pPr>
      <w:r>
        <w:rPr>
          <w:rFonts w:ascii="Arial" w:hAnsi="Arial"/>
          <w:sz w:val="16"/>
        </w:rPr>
        <w:t>Este anexo resume las condiciones comerciales aceptadas por LA PARTE PROPIETARIA y forma parte integrante del contrato. Las cifras tributarias o de neto son referenciales hasta su liquidación real.</w:t>
      </w:r>
    </w:p>
    <w:tbl>
      <w:tblPr>
        <w:tblW w:type="auto" w:w="0"/>
        <w:jc w:val="center"/>
        <w:tblLayout w:type="fixed"/>
        <w:tblLook w:firstColumn="1" w:firstRow="1" w:lastColumn="0" w:lastRow="0" w:noHBand="0" w:noVBand="1" w:val="04A0"/>
      </w:tblPr>
      <w:tblGrid>
        <w:gridCol w:w="5074"/>
        <w:gridCol w:w="5074"/>
      </w:tblGrid>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Inmueble</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Dirección / sector</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Clave catastral / predial</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Terreno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 m²</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Construcción registrada</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 m² / No aplica</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Avalúo municipal</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Predial / obligaciones municipales</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Descripción comercial</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br/>
              <w:t>______________________________________________</w:t>
              <w:b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Situación de ocupación / renta</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Precio de salida</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Rango autorizado de negociación</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 a USD __________________</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Precio mínimo / piso condicionado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 / No aplica</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Meta neta referencial</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USD __________________ / No aplica</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Comisión</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 % sobre el precio total de venta + IVA legal vigente sobre la comisión</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Revisión comercial</w:t>
            </w:r>
          </w:p>
        </w:tc>
        <w:tc>
          <w:tcPr>
            <w:tcW w:type="dxa" w:w="6009"/>
            <w:vAlign w:val="center"/>
            <w:shd w:fill="FFFFFF"/>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Cada ______ días</w:t>
            </w:r>
          </w:p>
        </w:tc>
      </w:tr>
      <w:tr>
        <w:tc>
          <w:tcPr>
            <w:tcW w:type="dxa" w:w="3969"/>
            <w:vAlign w:val="center"/>
            <w:shd w:fill="F2E7C8"/>
            <w:tcMar>
              <w:top w:w="55" w:type="dxa"/>
              <w:start w:w="80" w:type="dxa"/>
              <w:bottom w:w="55" w:type="dxa"/>
              <w:end w:w="80" w:type="dxa"/>
            </w:tcMar>
            <w:tcBorders>
              <w:top w:val="nil"/>
              <w:left w:val="nil"/>
              <w:bottom w:val="nil"/>
              <w:right w:val="nil"/>
            </w:tcBorders>
          </w:tcPr>
          <w:p>
            <w:pPr>
              <w:spacing w:after="0"/>
              <w:jc w:val="left"/>
            </w:pPr>
            <w:r>
              <w:rPr>
                <w:rFonts w:ascii="Arial" w:hAnsi="Arial"/>
                <w:b/>
                <w:color w:val="7E1F20"/>
                <w:sz w:val="15"/>
              </w:rPr>
              <w:t>Posicionamiento / comprador objetivo</w:t>
            </w:r>
          </w:p>
        </w:tc>
        <w:tc>
          <w:tcPr>
            <w:tcW w:type="dxa" w:w="6009"/>
            <w:vAlign w:val="center"/>
            <w:shd w:fill="F7F4EC"/>
            <w:tcMar>
              <w:top w:w="55" w:type="dxa"/>
              <w:start w:w="80" w:type="dxa"/>
              <w:bottom w:w="55" w:type="dxa"/>
              <w:end w:w="80" w:type="dxa"/>
            </w:tcMar>
            <w:tcBorders>
              <w:top w:val="nil"/>
              <w:left w:val="nil"/>
              <w:bottom w:val="nil"/>
              <w:right w:val="nil"/>
            </w:tcBorders>
          </w:tcPr>
          <w:p>
            <w:pPr>
              <w:spacing w:after="0"/>
              <w:jc w:val="left"/>
            </w:pPr>
            <w:r>
              <w:rPr>
                <w:rFonts w:ascii="Arial" w:hAnsi="Arial"/>
                <w:sz w:val="15"/>
              </w:rPr>
              <w:t>______________________________________________</w:t>
              <w:br/>
              <w:t>______________________________________________</w:t>
            </w:r>
          </w:p>
        </w:tc>
      </w:tr>
    </w:tbl>
    <w:p>
      <w:pPr>
        <w:spacing w:after="0"/>
        <w:widowControl/>
      </w:pPr>
    </w:p>
    <w:tbl>
      <w:tblPr>
        <w:tblW w:type="auto" w:w="0"/>
        <w:jc w:val="center"/>
        <w:tblLayout w:type="autofit"/>
        <w:tblLook w:firstColumn="1" w:firstRow="1" w:lastColumn="0" w:lastRow="0" w:noHBand="0" w:noVBand="1" w:val="04A0"/>
      </w:tblPr>
      <w:tblGrid>
        <w:gridCol w:w="10148"/>
      </w:tblGrid>
      <w:tr>
        <w:tc>
          <w:tcPr>
            <w:tcW w:type="dxa" w:w="10148"/>
            <w:shd w:fill="EEF0E6"/>
            <w:tcMar>
              <w:top w:w="80" w:type="dxa"/>
              <w:start w:w="100" w:type="dxa"/>
              <w:bottom w:w="80" w:type="dxa"/>
              <w:end w:w="100" w:type="dxa"/>
            </w:tcMar>
          </w:tcPr>
          <w:p>
            <w:pPr>
              <w:spacing w:after="0"/>
              <w:jc w:val="both"/>
            </w:pPr>
            <w:r>
              <w:rPr>
                <w:rFonts w:ascii="Arial" w:hAnsi="Arial"/>
                <w:b/>
                <w:color w:val="7E1F20"/>
                <w:sz w:val="16"/>
              </w:rPr>
              <w:t xml:space="preserve">REFERENCIA OPERATIVA: </w:t>
            </w:r>
            <w:r>
              <w:rPr>
                <w:rFonts w:ascii="Arial" w:hAnsi="Arial"/>
                <w:sz w:val="16"/>
              </w:rPr>
              <w:t>El plan de comercialización, control de ofertas y verificaciones previas se desarrolla en las cláusulas novena, décima primera y en el Anexo C. Este Anexo A conserva las condiciones comerciales esenciales aceptadas.</w:t>
            </w:r>
          </w:p>
        </w:tc>
      </w:tr>
    </w:tbl>
    <w:p>
      <w:pPr>
        <w:spacing w:after="0"/>
        <w:widowControl/>
      </w:pPr>
    </w:p>
    <w:p>
      <w:pPr>
        <w:widowControl/>
      </w:pPr>
      <w:r>
        <w:br w:type="page"/>
      </w:r>
    </w:p>
    <w:p>
      <w:pPr>
        <w:spacing w:after="60"/>
        <w:jc w:val="center"/>
        <w:widowControl/>
      </w:pPr>
      <w:r>
        <w:rPr>
          <w:rFonts w:ascii="Arial" w:hAnsi="Arial"/>
          <w:b/>
          <w:color w:val="7E1F20"/>
          <w:sz w:val="28"/>
        </w:rPr>
        <w:t>ANEXO B - REGISTRO DE PROSPECTOS PROTEGIDOS</w:t>
      </w:r>
    </w:p>
    <w:p>
      <w:pPr>
        <w:pStyle w:val="ContractSmall"/>
        <w:spacing w:after="36"/>
        <w:jc w:val="both"/>
        <w:widowControl/>
      </w:pPr>
      <w:r>
        <w:rPr>
          <w:rFonts w:ascii="Arial" w:hAnsi="Arial"/>
          <w:sz w:val="16"/>
        </w:rPr>
        <w:t>Este registro permite documentar los prospectos originados durante la vigencia del contrato. Puede completarse a mano o actualizarse mediante comunicaciones escritas que dejen evidencia de recepción. La protección se rige por la cláusula octava.</w:t>
      </w:r>
    </w:p>
    <w:tbl>
      <w:tblPr>
        <w:tblW w:type="auto" w:w="0"/>
        <w:jc w:val="center"/>
        <w:tblLayout w:type="fixed"/>
        <w:tblLook w:firstColumn="1" w:firstRow="1" w:lastColumn="0" w:lastRow="0" w:noHBand="0" w:noVBand="1" w:val="04A0"/>
      </w:tblPr>
      <w:tblGrid>
        <w:gridCol w:w="2030"/>
        <w:gridCol w:w="2030"/>
        <w:gridCol w:w="2030"/>
        <w:gridCol w:w="2030"/>
        <w:gridCol w:w="2030"/>
      </w:tblGrid>
      <w:tr>
        <w:tc>
          <w:tcPr>
            <w:tcW w:type="dxa" w:w="680"/>
            <w:shd w:fill="7E1F20"/>
            <w:vAlign w:val="center"/>
            <w:tcMar>
              <w:top w:w="70" w:type="dxa"/>
              <w:start w:w="50" w:type="dxa"/>
              <w:bottom w:w="70" w:type="dxa"/>
              <w:end w:w="50" w:type="dxa"/>
            </w:tcMar>
          </w:tcPr>
          <w:p>
            <w:pPr>
              <w:spacing w:after="0"/>
              <w:jc w:val="center"/>
            </w:pPr>
            <w:r>
              <w:rPr>
                <w:rFonts w:ascii="Arial" w:hAnsi="Arial"/>
                <w:b/>
                <w:color w:val="FFFFFF"/>
                <w:sz w:val="14"/>
              </w:rPr>
              <w:t>No.</w:t>
            </w:r>
          </w:p>
        </w:tc>
        <w:tc>
          <w:tcPr>
            <w:tcW w:type="dxa" w:w="2438"/>
            <w:shd w:fill="7E1F20"/>
            <w:vAlign w:val="center"/>
            <w:tcMar>
              <w:top w:w="70" w:type="dxa"/>
              <w:start w:w="50" w:type="dxa"/>
              <w:bottom w:w="70" w:type="dxa"/>
              <w:end w:w="50" w:type="dxa"/>
            </w:tcMar>
          </w:tcPr>
          <w:p>
            <w:pPr>
              <w:spacing w:after="0"/>
              <w:jc w:val="center"/>
            </w:pPr>
            <w:r>
              <w:rPr>
                <w:rFonts w:ascii="Arial" w:hAnsi="Arial"/>
                <w:b/>
                <w:color w:val="FFFFFF"/>
                <w:sz w:val="14"/>
              </w:rPr>
              <w:t>Nombre / empresa</w:t>
            </w:r>
          </w:p>
        </w:tc>
        <w:tc>
          <w:tcPr>
            <w:tcW w:type="dxa" w:w="1871"/>
            <w:shd w:fill="7E1F20"/>
            <w:vAlign w:val="center"/>
            <w:tcMar>
              <w:top w:w="70" w:type="dxa"/>
              <w:start w:w="50" w:type="dxa"/>
              <w:bottom w:w="70" w:type="dxa"/>
              <w:end w:w="50" w:type="dxa"/>
            </w:tcMar>
          </w:tcPr>
          <w:p>
            <w:pPr>
              <w:spacing w:after="0"/>
              <w:jc w:val="center"/>
            </w:pPr>
            <w:r>
              <w:rPr>
                <w:rFonts w:ascii="Arial" w:hAnsi="Arial"/>
                <w:b/>
                <w:color w:val="FFFFFF"/>
                <w:sz w:val="14"/>
              </w:rPr>
              <w:t>Teléfono o identificación</w:t>
            </w:r>
          </w:p>
        </w:tc>
        <w:tc>
          <w:tcPr>
            <w:tcW w:type="dxa" w:w="2268"/>
            <w:shd w:fill="7E1F20"/>
            <w:vAlign w:val="center"/>
            <w:tcMar>
              <w:top w:w="70" w:type="dxa"/>
              <w:start w:w="50" w:type="dxa"/>
              <w:bottom w:w="70" w:type="dxa"/>
              <w:end w:w="50" w:type="dxa"/>
            </w:tcMar>
          </w:tcPr>
          <w:p>
            <w:pPr>
              <w:spacing w:after="0"/>
              <w:jc w:val="center"/>
            </w:pPr>
            <w:r>
              <w:rPr>
                <w:rFonts w:ascii="Arial" w:hAnsi="Arial"/>
                <w:b/>
                <w:color w:val="FFFFFF"/>
                <w:sz w:val="14"/>
              </w:rPr>
              <w:t>Fecha primer contacto / visita</w:t>
            </w:r>
          </w:p>
        </w:tc>
        <w:tc>
          <w:tcPr>
            <w:tcW w:type="dxa" w:w="2494"/>
            <w:shd w:fill="7E1F20"/>
            <w:vAlign w:val="center"/>
            <w:tcMar>
              <w:top w:w="70" w:type="dxa"/>
              <w:start w:w="50" w:type="dxa"/>
              <w:bottom w:w="70" w:type="dxa"/>
              <w:end w:w="50" w:type="dxa"/>
            </w:tcMar>
          </w:tcPr>
          <w:p>
            <w:pPr>
              <w:spacing w:after="0"/>
              <w:jc w:val="center"/>
            </w:pPr>
            <w:r>
              <w:rPr>
                <w:rFonts w:ascii="Arial" w:hAnsi="Arial"/>
                <w:b/>
                <w:color w:val="FFFFFF"/>
                <w:sz w:val="14"/>
              </w:rPr>
              <w:t>Observación</w:t>
            </w: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1</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2</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3</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4</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5</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6</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7</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8</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9</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10</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11</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r>
        <w:trPr>
          <w:trHeight w:val="522"/>
        </w:trPr>
        <w:tc>
          <w:tcPr>
            <w:tcW w:type="dxa" w:w="680"/>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r>
              <w:rPr>
                <w:rFonts w:ascii="Arial" w:hAnsi="Arial"/>
                <w:sz w:val="14"/>
              </w:rPr>
              <w:t>12</w:t>
            </w:r>
          </w:p>
        </w:tc>
        <w:tc>
          <w:tcPr>
            <w:tcW w:type="dxa" w:w="243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1871"/>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268"/>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c>
          <w:tcPr>
            <w:tcW w:type="dxa" w:w="2494"/>
            <w:vAlign w:val="center"/>
            <w:tcMar>
              <w:top w:w="40" w:type="dxa"/>
              <w:start w:w="50" w:type="dxa"/>
              <w:bottom w:w="40" w:type="dxa"/>
              <w:end w:w="50" w:type="dxa"/>
            </w:tcMar>
            <w:tcBorders>
              <w:top w:val="single" w:sz="4" w:color="555555"/>
              <w:left w:val="single" w:sz="4" w:color="555555"/>
              <w:bottom w:val="single" w:sz="4" w:color="555555"/>
              <w:right w:val="single" w:sz="4" w:color="555555"/>
            </w:tcBorders>
          </w:tcPr>
          <w:p>
            <w:pPr>
              <w:spacing w:after="0"/>
              <w:jc w:val="center"/>
            </w:pPr>
          </w:p>
        </w:tc>
      </w:tr>
    </w:tbl>
    <w:p>
      <w:pPr>
        <w:widowControl/>
      </w:pPr>
    </w:p>
    <w:p>
      <w:pPr>
        <w:spacing w:after="100"/>
        <w:widowControl/>
      </w:pPr>
      <w:r>
        <w:rPr>
          <w:rFonts w:ascii="Arial" w:hAnsi="Arial"/>
          <w:b/>
          <w:sz w:val="17"/>
        </w:rPr>
        <w:t>Constancia de entrega / actualización del registro:</w:t>
      </w:r>
    </w:p>
    <w:tbl>
      <w:tblPr>
        <w:tblW w:type="auto" w:w="0"/>
        <w:jc w:val="center"/>
        <w:tblLayout w:type="fixed"/>
        <w:tblLook w:firstColumn="1" w:firstRow="1" w:lastColumn="0" w:lastRow="0" w:noHBand="0" w:noVBand="1" w:val="04A0"/>
      </w:tblPr>
      <w:tblGrid>
        <w:gridCol w:w="5074"/>
        <w:gridCol w:w="5074"/>
      </w:tblGrid>
      <w:tr>
        <w:tc>
          <w:tcPr>
            <w:tcW w:type="dxa" w:w="4876"/>
            <w:tcBorders>
              <w:top w:val="nil"/>
              <w:left w:val="nil"/>
              <w:bottom w:val="nil"/>
              <w:right w:val="nil"/>
            </w:tcBorders>
            <w:tcMar>
              <w:top w:w="90" w:type="dxa"/>
              <w:start w:w="120" w:type="dxa"/>
              <w:bottom w:w="90" w:type="dxa"/>
              <w:end w:w="120" w:type="dxa"/>
            </w:tcMar>
          </w:tcPr>
          <w:p>
            <w:pPr>
              <w:jc w:val="center"/>
            </w:pPr>
            <w:r>
              <w:rPr>
                <w:rFonts w:ascii="Arial" w:hAnsi="Arial"/>
                <w:b/>
                <w:sz w:val="16"/>
              </w:rPr>
              <w:t>LA PARTE PROPIETARIA</w:t>
              <w:br/>
            </w:r>
            <w:r>
              <w:rPr>
                <w:rFonts w:ascii="Arial" w:hAnsi="Arial"/>
                <w:b w:val="0"/>
                <w:sz w:val="16"/>
              </w:rPr>
              <w:t>Firma: ______________________________</w:t>
              <w:br/>
            </w:r>
            <w:r>
              <w:rPr>
                <w:rFonts w:ascii="Arial" w:hAnsi="Arial"/>
                <w:b w:val="0"/>
                <w:sz w:val="16"/>
              </w:rPr>
              <w:t>Fecha: ______________________________</w:t>
            </w:r>
          </w:p>
        </w:tc>
        <w:tc>
          <w:tcPr>
            <w:tcW w:type="dxa" w:w="4876"/>
            <w:tcBorders>
              <w:top w:val="nil"/>
              <w:left w:val="nil"/>
              <w:bottom w:val="nil"/>
              <w:right w:val="nil"/>
            </w:tcBorders>
            <w:tcMar>
              <w:top w:w="90" w:type="dxa"/>
              <w:start w:w="120" w:type="dxa"/>
              <w:bottom w:w="90" w:type="dxa"/>
              <w:end w:w="120" w:type="dxa"/>
            </w:tcMar>
          </w:tcPr>
          <w:p>
            <w:pPr>
              <w:jc w:val="center"/>
            </w:pPr>
            <w:r>
              <w:rPr>
                <w:rFonts w:ascii="Arial" w:hAnsi="Arial"/>
                <w:b/>
                <w:sz w:val="16"/>
              </w:rPr>
              <w:t>EL CORREDOR</w:t>
              <w:br/>
            </w:r>
            <w:r>
              <w:rPr>
                <w:rFonts w:ascii="Arial" w:hAnsi="Arial"/>
                <w:b w:val="0"/>
                <w:sz w:val="16"/>
              </w:rPr>
              <w:t>Firma: ______________________________</w:t>
              <w:br/>
            </w:r>
            <w:r>
              <w:rPr>
                <w:rFonts w:ascii="Arial" w:hAnsi="Arial"/>
                <w:b w:val="0"/>
                <w:sz w:val="16"/>
              </w:rPr>
              <w:t>Fecha: ______________________________</w:t>
            </w:r>
          </w:p>
        </w:tc>
      </w:tr>
    </w:tbl>
    <w:tbl>
      <w:tblPr>
        <w:tblW w:type="auto" w:w="0"/>
        <w:jc w:val="center"/>
        <w:tblLayout w:type="autofit"/>
        <w:tblLook w:firstColumn="1" w:firstRow="1" w:lastColumn="0" w:lastRow="0" w:noHBand="0" w:noVBand="1" w:val="04A0"/>
      </w:tblPr>
      <w:tblGrid>
        <w:gridCol w:w="10148"/>
      </w:tblGrid>
      <w:tr>
        <w:tc>
          <w:tcPr>
            <w:tcW w:type="dxa" w:w="10148"/>
            <w:shd w:fill="F3EEE2"/>
            <w:tcMar>
              <w:top w:w="80" w:type="dxa"/>
              <w:start w:w="100" w:type="dxa"/>
              <w:bottom w:w="80" w:type="dxa"/>
              <w:end w:w="100" w:type="dxa"/>
            </w:tcMar>
          </w:tcPr>
          <w:p>
            <w:pPr>
              <w:spacing w:after="0"/>
              <w:jc w:val="both"/>
            </w:pPr>
            <w:r>
              <w:rPr>
                <w:rFonts w:ascii="Arial" w:hAnsi="Arial"/>
                <w:b/>
                <w:color w:val="7E1F20"/>
                <w:sz w:val="16"/>
              </w:rPr>
              <w:t xml:space="preserve">RECUERDE: </w:t>
            </w:r>
            <w:r>
              <w:rPr>
                <w:rFonts w:ascii="Arial" w:hAnsi="Arial"/>
                <w:sz w:val="16"/>
              </w:rPr>
              <w:t>La existencia de este registro no reemplaza los mensajes, agendas de visita, CRM u otras evidencias objetivas de prospectos generados durante la vigencia. Su finalidad es facilitar claridad y evitar controversias.</w:t>
            </w:r>
          </w:p>
        </w:tc>
      </w:tr>
    </w:tbl>
    <w:p>
      <w:pPr>
        <w:spacing w:after="0"/>
        <w:widowControl/>
      </w:pPr>
    </w:p>
    <w:p>
      <w:pPr>
        <w:widowControl/>
      </w:pPr>
      <w:r>
        <w:br w:type="page"/>
      </w:r>
    </w:p>
    <w:p>
      <w:pPr>
        <w:spacing w:after="60"/>
        <w:jc w:val="center"/>
        <w:widowControl/>
      </w:pPr>
      <w:r>
        <w:rPr>
          <w:rFonts w:ascii="Arial" w:hAnsi="Arial"/>
          <w:b/>
          <w:color w:val="7E1F20"/>
          <w:sz w:val="28"/>
        </w:rPr>
        <w:t>ANEXO C - LISTA DE VERIFICACIÓN DOCUMENTAL PARA EL CIERRE</w:t>
      </w:r>
    </w:p>
    <w:p>
      <w:pPr>
        <w:pStyle w:val="ContractSmall"/>
        <w:spacing w:after="36"/>
        <w:jc w:val="both"/>
        <w:widowControl/>
      </w:pPr>
      <w:r>
        <w:rPr>
          <w:rFonts w:ascii="Arial" w:hAnsi="Arial"/>
          <w:sz w:val="16"/>
        </w:rPr>
        <w:t>Lista operativa de referencia. La exigencia concreta de cada documento dependerá de la situación registral, municipal, notarial y contractual al momento de la venta.</w:t>
      </w:r>
    </w:p>
    <w:p>
      <w:pPr>
        <w:spacing w:after="80"/>
        <w:ind w:left="227" w:hanging="142"/>
        <w:widowControl/>
      </w:pPr>
      <w:r>
        <w:rPr>
          <w:rFonts w:ascii="Arial" w:hAnsi="Arial"/>
          <w:sz w:val="18"/>
        </w:rPr>
        <w:t>☐ Escritura o título de adquisición de todos los titulares.</w:t>
      </w:r>
    </w:p>
    <w:p>
      <w:pPr>
        <w:spacing w:after="80"/>
        <w:ind w:left="227" w:hanging="142"/>
        <w:widowControl/>
      </w:pPr>
      <w:r>
        <w:rPr>
          <w:rFonts w:ascii="Arial" w:hAnsi="Arial"/>
          <w:sz w:val="18"/>
        </w:rPr>
        <w:t>☐ Cédulas, estado civil y comparecencia o poder suficiente de todos los propietarios.</w:t>
      </w:r>
    </w:p>
    <w:p>
      <w:pPr>
        <w:spacing w:after="80"/>
        <w:ind w:left="227" w:hanging="142"/>
        <w:widowControl/>
      </w:pPr>
      <w:r>
        <w:rPr>
          <w:rFonts w:ascii="Arial" w:hAnsi="Arial"/>
          <w:sz w:val="18"/>
        </w:rPr>
        <w:t>☐ Certificado de gravámenes actualizado.</w:t>
      </w:r>
    </w:p>
    <w:p>
      <w:pPr>
        <w:spacing w:after="80"/>
        <w:ind w:left="227" w:hanging="142"/>
        <w:widowControl/>
      </w:pPr>
      <w:r>
        <w:rPr>
          <w:rFonts w:ascii="Arial" w:hAnsi="Arial"/>
          <w:sz w:val="18"/>
        </w:rPr>
        <w:t>☐ Certificación catastral para transferencia; verificación de área de terreno y construcción registrada.</w:t>
      </w:r>
    </w:p>
    <w:p>
      <w:pPr>
        <w:spacing w:after="80"/>
        <w:ind w:left="227" w:hanging="142"/>
        <w:widowControl/>
      </w:pPr>
      <w:r>
        <w:rPr>
          <w:rFonts w:ascii="Arial" w:hAnsi="Arial"/>
          <w:sz w:val="18"/>
        </w:rPr>
        <w:t>☐ Liquidación municipal de utilidades/plusvalía, cuando corresponda, antes de fijar un piso definitivo dependiente del neto.</w:t>
      </w:r>
    </w:p>
    <w:p>
      <w:pPr>
        <w:spacing w:after="80"/>
        <w:ind w:left="227" w:hanging="142"/>
        <w:widowControl/>
      </w:pPr>
      <w:r>
        <w:rPr>
          <w:rFonts w:ascii="Arial" w:hAnsi="Arial"/>
          <w:sz w:val="18"/>
        </w:rPr>
        <w:t>☐ Predial y obligaciones municipales al día.</w:t>
      </w:r>
    </w:p>
    <w:p>
      <w:pPr>
        <w:spacing w:after="80"/>
        <w:ind w:left="227" w:hanging="142"/>
        <w:widowControl/>
      </w:pPr>
      <w:r>
        <w:rPr>
          <w:rFonts w:ascii="Arial" w:hAnsi="Arial"/>
          <w:sz w:val="18"/>
        </w:rPr>
        <w:t>☐ Estado de cuenta de agua potable, alcantarillado, convenios u otros valores, según corresponda.</w:t>
      </w:r>
    </w:p>
    <w:p>
      <w:pPr>
        <w:spacing w:after="80"/>
        <w:ind w:left="227" w:hanging="142"/>
        <w:widowControl/>
      </w:pPr>
      <w:r>
        <w:rPr>
          <w:rFonts w:ascii="Arial" w:hAnsi="Arial"/>
          <w:sz w:val="18"/>
        </w:rPr>
        <w:t>☐ Situación de inquilinos: contratos, depósitos, avisos, continuidad o fecha de entrega.</w:t>
      </w:r>
    </w:p>
    <w:p>
      <w:pPr>
        <w:spacing w:after="80"/>
        <w:ind w:left="227" w:hanging="142"/>
        <w:widowControl/>
      </w:pPr>
      <w:r>
        <w:rPr>
          <w:rFonts w:ascii="Arial" w:hAnsi="Arial"/>
          <w:sz w:val="18"/>
        </w:rPr>
        <w:t>☐ Revisión de hipotecas, prohibiciones, embargos u otras limitaciones, si existieren.</w:t>
      </w:r>
    </w:p>
    <w:p>
      <w:pPr>
        <w:spacing w:after="80"/>
        <w:ind w:left="227" w:hanging="142"/>
        <w:widowControl/>
      </w:pPr>
      <w:r>
        <w:rPr>
          <w:rFonts w:ascii="Arial" w:hAnsi="Arial"/>
          <w:sz w:val="18"/>
        </w:rPr>
        <w:t>☐ Definición escrita de reparaciones, adecuaciones o entrega desocupada, si se negocian.</w:t>
      </w:r>
    </w:p>
    <w:p>
      <w:pPr>
        <w:spacing w:after="80"/>
        <w:ind w:left="227" w:hanging="142"/>
        <w:widowControl/>
      </w:pPr>
      <w:r>
        <w:rPr>
          <w:rFonts w:ascii="Arial" w:hAnsi="Arial"/>
          <w:sz w:val="18"/>
        </w:rPr>
        <w:t>☐ Hoja de liquidación final: precio, comisión, IVA, impuestos, otros costos y neto proyectado.</w:t>
      </w:r>
    </w:p>
    <w:p>
      <w:pPr>
        <w:spacing w:after="80"/>
        <w:ind w:left="227" w:hanging="142"/>
        <w:widowControl/>
      </w:pPr>
      <w:r>
        <w:rPr>
          <w:rFonts w:ascii="Arial" w:hAnsi="Arial"/>
          <w:sz w:val="18"/>
        </w:rPr>
        <w:t>☐ Promesa / minuta / escritura revisada antes de firma y pago.</w:t>
      </w:r>
    </w:p>
    <w:tbl>
      <w:tblPr>
        <w:tblW w:type="auto" w:w="0"/>
        <w:jc w:val="center"/>
        <w:tblLayout w:type="autofit"/>
        <w:tblLook w:firstColumn="1" w:firstRow="1" w:lastColumn="0" w:lastRow="0" w:noHBand="0" w:noVBand="1" w:val="04A0"/>
      </w:tblPr>
      <w:tblGrid>
        <w:gridCol w:w="10148"/>
      </w:tblGrid>
      <w:tr>
        <w:tc>
          <w:tcPr>
            <w:tcW w:type="dxa" w:w="10148"/>
            <w:shd w:fill="F3EEE2"/>
            <w:tcMar>
              <w:top w:w="80" w:type="dxa"/>
              <w:start w:w="100" w:type="dxa"/>
              <w:bottom w:w="80" w:type="dxa"/>
              <w:end w:w="100" w:type="dxa"/>
            </w:tcMar>
          </w:tcPr>
          <w:p>
            <w:pPr>
              <w:spacing w:after="0"/>
              <w:jc w:val="both"/>
            </w:pPr>
            <w:r>
              <w:rPr>
                <w:rFonts w:ascii="Arial" w:hAnsi="Arial"/>
                <w:b/>
                <w:color w:val="7E1F20"/>
                <w:sz w:val="16"/>
              </w:rPr>
              <w:t xml:space="preserve">IMPORTANTE: </w:t>
            </w:r>
            <w:r>
              <w:rPr>
                <w:rFonts w:ascii="Arial" w:hAnsi="Arial"/>
                <w:sz w:val="16"/>
              </w:rPr>
              <w:t>Antes de generar una obligación de venta, el certificado registral vigente debe confirmar quiénes son exactamente los titulares, sus porcentajes de derechos y cualquier limitación al dominio.</w:t>
            </w:r>
          </w:p>
        </w:tc>
      </w:tr>
    </w:tbl>
    <w:p>
      <w:pPr>
        <w:spacing w:after="0"/>
        <w:widowControl/>
      </w:pPr>
    </w:p>
    <w:p>
      <w:pPr>
        <w:spacing w:before="360" w:after="40"/>
        <w:jc w:val="center"/>
        <w:widowControl/>
      </w:pPr>
      <w:r>
        <w:rPr>
          <w:rFonts w:ascii="Arial" w:hAnsi="Arial"/>
          <w:b/>
          <w:color w:val="7E1F20"/>
          <w:sz w:val="22"/>
        </w:rPr>
        <w:t>ERETZ HAUS BIENES RAÍCES</w:t>
      </w:r>
    </w:p>
    <w:p>
      <w:pPr>
        <w:spacing w:after="20"/>
        <w:jc w:val="center"/>
        <w:widowControl/>
      </w:pPr>
      <w:r>
        <w:rPr>
          <w:rFonts w:ascii="Arial" w:hAnsi="Arial"/>
          <w:b/>
          <w:color w:val="505C2B"/>
          <w:sz w:val="18"/>
        </w:rPr>
        <w:t>Tierra con promesa, hogares con propósito</w:t>
      </w:r>
    </w:p>
    <w:p>
      <w:pPr>
        <w:jc w:val="center"/>
        <w:widowControl/>
      </w:pPr>
      <w:r>
        <w:rPr>
          <w:rFonts w:ascii="Arial" w:hAnsi="Arial"/>
          <w:sz w:val="17"/>
        </w:rPr>
        <w:t>095 994 3028  |  www.eretzhaus.com</w:t>
      </w:r>
    </w:p>
    <w:sectPr w:rsidR="00FC693F" w:rsidRPr="0006063C" w:rsidSect="00034616">
      <w:headerReference w:type="default" r:id="rId9"/>
      <w:footerReference w:type="default" r:id="rId10"/>
      <w:pgSz w:w="11906" w:h="16838"/>
      <w:pgMar w:top="652" w:right="879" w:bottom="680" w:left="879" w:header="198" w:footer="25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after="0"/>
      <w:jc w:val="center"/>
    </w:pPr>
    <w:r>
      <w:rPr>
        <w:rFonts w:ascii="Arial" w:hAnsi="Arial"/>
        <w:b/>
        <w:color w:val="7E1F20"/>
        <w:sz w:val="14"/>
      </w:rPr>
      <w:t>ERETZ HAUS BIENES RAÍCES  |  095 994 3028  |  www.eretzhaus.com</w:t>
    </w:r>
  </w:p>
  <w:p>
    <w:pPr>
      <w:spacing w:before="0" w:after="0"/>
      <w:jc w:val="right"/>
    </w:pPr>
    <w:r>
      <w:rPr>
        <w:rFonts w:ascii="Arial" w:hAnsi="Arial"/>
        <w:color w:val="646464"/>
        <w:sz w:val="14"/>
      </w:rPr>
      <w:t xml:space="preserve">Página </w:t>
    </w:r>
    <w:fldSimple w:instr="PAGE">
      <w:r>
        <w:rPr>
          <w:sz w:val="14"/>
          <w:rFonts w:ascii="Arial" w:hAnsi="Arial"/>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Bdr>
        <w:top w:val="single" w:sz="6" w:space="1" w:color="7E1F20"/>
      </w:pBdr>
    </w:pPr>
    <w:r>
      <w:rPr>
        <w:rFonts w:ascii="Arial" w:hAnsi="Arial"/>
        <w:b/>
        <w:color w:val="505C2B"/>
        <w:sz w:val="14"/>
      </w:rPr>
      <w:t>ERETZ HAUS BIENES RAÍCES  |  MODELO DE CONTRATO ABIERTO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4" w:line="240" w:lineRule="auto"/>
      <w:jc w:val="both"/>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ntractSmall">
    <w:name w:val="Contract Small"/>
    <w:pPr>
      <w:spacing w:after="32" w:line="240" w:lineRule="auto"/>
      <w:jc w:val="both"/>
    </w:pPr>
    <w:rPr>
      <w:rFonts w:ascii="Arial" w:hAnsi="Arial"/>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CORRETAJE PROFESIONAL DE BIENES RAICES SIN EXCLUSIVIDAD</dc:title>
  <dc:subject>Modelo editable de contrato profesional de corretaje inmobiliario abierto y sin exclusividad</dc:subject>
  <dc:creator>ERETZ HAUS BIENES RAÍCES</dc:creator>
  <cp:keywords>corretaje, bienes raíces, contrato abierto, sin exclusividad, Eretz Haus, contrato</cp:keywords>
  <dc:description>generated by python-docx</dc:description>
  <cp:lastModifiedBy/>
  <cp:revision>1</cp:revision>
  <dcterms:created xsi:type="dcterms:W3CDTF">2013-12-23T23:15:00Z</dcterms:created>
  <dcterms:modified xsi:type="dcterms:W3CDTF">2013-12-23T23:15:00Z</dcterms:modified>
  <cp:category/>
</cp:coreProperties>
</file>